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KHÁCH HÀNG BỆNH NHÂN – XUẤT HÓA ĐƠN BỆNH VIỆN</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Chính Sách và Quy Trình</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Tên Chính Sách: </w:t>
            </w:r>
            <w:r>
              <w:rPr>
                <w:rFonts w:ascii="Arial" w:hAnsi="Arial"/>
                <w:b/>
                <w:sz w:val="24"/>
              </w:rPr>
              <w:t xml:space="preserve">HỖ TRỢ TÀI CHÍNH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Ngày Có Hiệu Lực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Mục: Dịch Vụ Tài Chính Dành Cho Bệnh Nhân</w:t>
            </w:r>
            <w:r>
              <w:rPr>
                <w:rFonts w:ascii="Arial" w:hAnsi="Arial"/>
                <w:sz w:val="20"/>
              </w:rPr>
              <w:tab/>
            </w:r>
          </w:p>
        </w:tc>
        <w:tc>
          <w:tcPr>
            <w:tcW w:w="2808" w:type="dxa"/>
          </w:tcPr>
          <w:p w14:paraId="0BF50782" w14:textId="77777777" w:rsidR="00AA3415" w:rsidRDefault="00BC146F" w:rsidP="00B876A4">
            <w:pPr>
              <w:autoSpaceDE w:val="0"/>
              <w:autoSpaceDN w:val="0"/>
              <w:adjustRightInd w:val="0"/>
              <w:rPr>
                <w:rFonts w:ascii="Arial" w:hAnsi="Arial"/>
                <w:sz w:val="20"/>
                <w:lang w:val="en-US"/>
              </w:rPr>
            </w:pPr>
            <w:r>
              <w:rPr>
                <w:rFonts w:ascii="Arial" w:hAnsi="Arial"/>
                <w:sz w:val="20"/>
              </w:rPr>
              <w:t>Ngày Chỉnh Sửa:  17/04/2017, 04/12/2017, 07/03/2019, 15/10/2019, 19/11/2019, 01/01/2021, 01/01/2022, 01/01/2023</w:t>
            </w:r>
            <w:r w:rsidR="007D26E5">
              <w:rPr>
                <w:rFonts w:ascii="Arial" w:hAnsi="Arial"/>
                <w:sz w:val="20"/>
                <w:lang w:val="en-US"/>
              </w:rPr>
              <w:t>, 10/12/2023</w:t>
            </w:r>
            <w:r w:rsidR="00691E6A">
              <w:rPr>
                <w:rFonts w:ascii="Arial" w:hAnsi="Arial"/>
                <w:sz w:val="20"/>
                <w:lang w:val="en-US"/>
              </w:rPr>
              <w:t>, 01/01/2024</w:t>
            </w:r>
            <w:r w:rsidR="00AA3415">
              <w:rPr>
                <w:rFonts w:ascii="Arial" w:hAnsi="Arial"/>
                <w:sz w:val="20"/>
                <w:lang w:val="en-US"/>
              </w:rPr>
              <w:t>,</w:t>
            </w:r>
          </w:p>
          <w:p w14:paraId="764E2A56" w14:textId="1DB92625" w:rsidR="00AA3415" w:rsidRPr="00AA3415" w:rsidRDefault="00AA3415" w:rsidP="00B876A4">
            <w:pPr>
              <w:autoSpaceDE w:val="0"/>
              <w:autoSpaceDN w:val="0"/>
              <w:adjustRightInd w:val="0"/>
              <w:rPr>
                <w:rFonts w:ascii="Arial" w:hAnsi="Arial"/>
                <w:sz w:val="20"/>
                <w:lang w:val="en-US"/>
              </w:rPr>
            </w:pPr>
            <w:r>
              <w:rPr>
                <w:rFonts w:ascii="Arial" w:hAnsi="Arial"/>
                <w:sz w:val="20"/>
                <w:lang w:val="en-US"/>
              </w:rPr>
              <w:t>01/01/2025</w:t>
            </w:r>
            <w:r w:rsidR="00E46F4E">
              <w:rPr>
                <w:rFonts w:ascii="Arial" w:hAnsi="Arial"/>
                <w:sz w:val="20"/>
                <w:lang w:val="en-US"/>
              </w:rPr>
              <w:t>, 01/01/2026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MỤC ĐÍCH VÀ PHẠM VI:</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Mục đích của chính sách này là nhằm thiết lập các quy trình chuẩn để xác định hỗ trợ tài chính đối với bệnh nhân của Bệnh Viện Nationwide Children's và các Đơn Vị Liên Kết cần hỗ trợ tài chính.  Chính sách này quy định quy trình dành cho nhân viên Bộ Phận Khách Hàng Bệnh Nhân, và các đại diện Nhà Cung Cấp Bên Ngoài để xác định các bệnh nhân và gia đình đủ điều kiện được chăm sóc miễn phí hoặc được giảm giá.  Bộ Phận Khách Hàng Bệnh Nhân Nationwide Children’s có thẩm quyền tối cao để xác định cá nhân có đủ điều kiện được hỗ trợ tài chính hay không và xác định các hành động thích đáng đã được thực hiện trước khi Nationwide Children’s tiến hành Hành Động Thu Nợ Quá Hạn.  Tính đủ điều kiện để nhận hỗ trợ tài chính áp dụng cho tất cả bệnh nhân bất kể chủng tộc, màu da, tín ngưỡng, sắc tộc, nguồn gốc quốc gia, tuổi tác, giới tính, khuynh hướng tình dục, bản dạng giới, tôn giáo hoặc khuyết tật nào.</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Các dịch vụ được quy định trong chính sách này bao gồm tất cả các trường hợp khẩn cấp và các trường hợp Chăm Sóc Cần Thiết Về Mặt Y Tế khác được Nationwide Children's và các Đơn Vị Liên Kết của mình cung cấp.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Nationwide Children’s sẽ cung cấp, mà không phân biệt đối xử, việc chăm sóc cho các bệnh trạng y tế khẩn cấp cho các cá nhân bất kể họ có đủ điều kiện nhận hỗ trợ tài chính hay không. Nationwide Children’s sẽ tuân thủ Đạo Luật Điều Trị Y Tế Cấp Cứu Và Lao Động (EMTALA) bằng cách cung cấp các buổi thăm khám sàng lọc y tế và điều trị ổn định và giới thiệu hoặc thuyên chuyển cá nhân đến cơ sở khác, nếu thích hợp, và cung cấp các dịch vụ cấp cứu theo 42 CFR 482.55 (hoặc mọi quy định tiếp nối). Nationwide Children’s nghiêm cấm mọi hành vi ngăn trở cá nhân tìm kiếm sự chăm sóc y tế khẩn cấp, ví dụ như yêu cầu bệnh nhân bộ phận cấp cứu chi trả trước khi nhận điều trị đối với các bệnh trạng y tế khẩn cấp hoặc cho phép các hoạt động thu tiền có can thiệp vào việc cung cấp chăm sóc y tế khẩn cấp, mà không phân biệt đối xử.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ĐỊNH NGHĨA:</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Đơn Vị Liên Kết</w:t>
      </w:r>
      <w:r>
        <w:rPr>
          <w:rFonts w:ascii="Arial" w:hAnsi="Arial"/>
          <w:sz w:val="20"/>
        </w:rPr>
        <w:t xml:space="preserve"> – Các công ty liên kết thuộc sở hữu của Bệnh Viện Nationwide Children's cung cấp các dịch vụ cấp cứu và Chăm Sóc Cần Thiết Về Mặt Y Tế khác tại bệnh viện, bao gồm Hiệp Hội Gây Mê Nhi Khoa, Viện Bức Xạ Học Nhi Khoa, Hiệp Hội Phẫu Thuật Nhi Khoa, Hội Hàn Lâm Nhi Khoa, và Hiệp Hội Bệnh Học Nhi Khoa Columbus. Mặc dù Hội Thông Lệ Cộng Đồng Về Nhi Khoa không cung cấp dịch vụ chăm sóc bệnh nhân trong bệnh viện, hội vẫn trực thuộc Bệnh viện Nationwide Children’s và cung cấp hỗ trợ tài chính theo chính sách này.</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Số Tiền Tính Phí Thông Thường (AGB)</w:t>
      </w:r>
      <w:r>
        <w:rPr>
          <w:rFonts w:ascii="Arial" w:hAnsi="Arial"/>
          <w:sz w:val="20"/>
        </w:rPr>
        <w:t xml:space="preserve"> – Số tiền mà Nationwide Children’s thường tính phí cho bệnh nhân có bảo hiểm.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Nhà Cung Cấp Bên Ngoài</w:t>
      </w:r>
      <w:r>
        <w:rPr>
          <w:rFonts w:ascii="Arial" w:hAnsi="Arial"/>
          <w:sz w:val="20"/>
        </w:rPr>
        <w:t xml:space="preserve"> – Các công ty được thuê làm đại lý liên quan đến việc xuất hóa đơn và thu tiền.</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lastRenderedPageBreak/>
        <w:t>Hành Động Thu Nợ Quá Hạn</w:t>
      </w:r>
      <w:r>
        <w:rPr>
          <w:rFonts w:ascii="Arial" w:hAnsi="Arial"/>
          <w:sz w:val="20"/>
        </w:rPr>
        <w:t xml:space="preserve"> – Hành động do Nationwide Children’s thực hiện đối với cá nhân liên quan đến việc thu tiền thanh toán hóa đơn cho việc chăm sóc được quy định theo Chính Sách Hỗ Trợ Tài Chính được quy định trong 26 CFR 1.501(r)-6(b) (hoặc mọi quy định tiếp nối). </w:t>
      </w:r>
    </w:p>
    <w:p w14:paraId="51033399" w14:textId="7FA17C4F" w:rsidR="004105E0" w:rsidRPr="00FA3C0E" w:rsidRDefault="004105E0" w:rsidP="004105E0">
      <w:pPr>
        <w:pStyle w:val="NoSpacing"/>
        <w:rPr>
          <w:rFonts w:ascii="Arial" w:eastAsia="Times New Roman" w:hAnsi="Arial" w:cs="Arial"/>
          <w:sz w:val="20"/>
          <w:szCs w:val="20"/>
        </w:rPr>
      </w:pPr>
      <w:r>
        <w:rPr>
          <w:rFonts w:ascii="Arial" w:hAnsi="Arial"/>
          <w:sz w:val="20"/>
          <w:u w:val="single"/>
        </w:rPr>
        <w:t>Quy Mô Gia Đình</w:t>
      </w:r>
      <w:r>
        <w:rPr>
          <w:rFonts w:ascii="Arial" w:hAnsi="Arial"/>
          <w:sz w:val="20"/>
        </w:rPr>
        <w:t xml:space="preserve"> </w:t>
      </w:r>
      <w:r w:rsidR="009270DF">
        <w:rPr>
          <w:rFonts w:ascii="Arial" w:hAnsi="Arial"/>
          <w:sz w:val="20"/>
        </w:rPr>
        <w:t>–</w:t>
      </w:r>
      <w:r>
        <w:rPr>
          <w:rFonts w:ascii="Arial" w:hAnsi="Arial"/>
          <w:sz w:val="20"/>
        </w:rPr>
        <w:t xml:space="preserve"> Bao gồm bệnh nhân, vợ hoặc chồng của bệnh nhân, bất kể người vợ hoặc chồng có sống cùng nhà hay không, và toàn bộ con cái của bệnh nhân, là con ruột hay con nuôi, dưới mười tám tuổi và sống cùng nhà.   Nếu bệnh nhân dưới mười tám tuổi, “gia đình” sẽ bao gồm bệnh nhân, (các) phụ huynh là cha mẹ đẻ hoặc cha mẹ nuôi của bệnh nhân (bất kể họ có sống cùng nhà hay không), và con cái của (các) phụ huynh, là con nuôi hoặc con đẻ dưới mười tám tuổi sống cùng nhà.</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Chính Sách Hỗ Trợ Tài Chính này.</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Mức Nghèo Của Liên Bang</w:t>
      </w:r>
      <w:r>
        <w:rPr>
          <w:rFonts w:ascii="Arial" w:hAnsi="Arial"/>
          <w:sz w:val="20"/>
        </w:rPr>
        <w:t xml:space="preserve"> (FPL) – Tiêu chuẩn đánh giá do chính phủ Hoa Kỳ đề ra dựa trên thu nhập hàng năm và quy mô hộ gia đình để xác định ngưỡng nghèo.</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Tổng Chi Phí</w:t>
      </w:r>
      <w:r>
        <w:rPr>
          <w:rFonts w:ascii="Arial" w:hAnsi="Arial"/>
          <w:sz w:val="20"/>
        </w:rPr>
        <w:t xml:space="preserve"> – Số tiền được tính phí cho việc chăm sóc y tế. </w:t>
      </w:r>
    </w:p>
    <w:p w14:paraId="50A9267E" w14:textId="659EA3E1" w:rsidR="00666CA8" w:rsidRPr="00FA3C0E" w:rsidRDefault="00666CA8" w:rsidP="00666CA8">
      <w:pPr>
        <w:pStyle w:val="NoSpacing"/>
        <w:rPr>
          <w:rFonts w:ascii="Arial" w:hAnsi="Arial" w:cs="Arial"/>
          <w:b/>
          <w:sz w:val="20"/>
          <w:szCs w:val="20"/>
        </w:rPr>
      </w:pPr>
      <w:r>
        <w:rPr>
          <w:rFonts w:ascii="Arial" w:hAnsi="Arial"/>
          <w:sz w:val="20"/>
          <w:u w:val="single"/>
        </w:rPr>
        <w:t>Tổng Thu Nhập</w:t>
      </w:r>
      <w:r>
        <w:rPr>
          <w:rFonts w:ascii="Arial" w:hAnsi="Arial"/>
          <w:sz w:val="20"/>
        </w:rPr>
        <w:t xml:space="preserve"> </w:t>
      </w:r>
      <w:r w:rsidR="009270DF">
        <w:rPr>
          <w:rFonts w:ascii="Arial" w:hAnsi="Arial"/>
          <w:sz w:val="20"/>
        </w:rPr>
        <w:t>–</w:t>
      </w:r>
      <w:r>
        <w:rPr>
          <w:rFonts w:ascii="Arial" w:hAnsi="Arial"/>
          <w:sz w:val="20"/>
        </w:rPr>
        <w:t xml:space="preserve"> Tổng thu nhập trước khi trừ mọi loại thuế.</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 xml:space="preserve">Chăm Sóc Cần Thiết Về Mặt Y Tế </w:t>
      </w:r>
      <w:r>
        <w:rPr>
          <w:rFonts w:ascii="Arial" w:hAnsi="Arial"/>
          <w:sz w:val="20"/>
        </w:rPr>
        <w:t xml:space="preserve"> – Các dịch vụ hoặc việc cung cấp dịch vụ chăm sóc sức khỏe cần thiết để phòng tránh, chẩn đoán, hoặc điều trị bệnh, chấn thương, bệnh trạng, bệnh tật, hoặc các triệu chứng và đáp ứng tiêu chuẩn y tế được chấp nhận.</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Trách Nhiệm Bệnh Nhân</w:t>
      </w:r>
      <w:r>
        <w:rPr>
          <w:rFonts w:ascii="Arial" w:hAnsi="Arial"/>
          <w:sz w:val="20"/>
        </w:rPr>
        <w:t xml:space="preserve"> – Số tiền mà cá nhân chịu trách nhiệm chi trả sau khi trừ tất cả các khoản thanh toán của bảo hiểm (bao gồm các bên chi trả thương mại và chính phủ), khấu trừ, và giảm giá đã được áp dụng cho hóa đơn của bệnh nhân.</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Chỉ dẫn:</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Tiêu Chí Đạt Tiêu Chuẩn</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Mọi bệnh nhân được hoặc muốn được cấp cứu hoặc nhận Chăm Sóc Cần Thiết Về Mặt Y Tế tại Nationwide Children’s có thể xin hỗ trợ tài chính; tuy nhiên, các tiêu chí được sử dụng để đánh giá mức độ đủ điều kiện có thể khác nhau tùy theo nơi bệnh nhân ở trong trường hợp bệnh nhân muốn nhận chăm sóc không khẩn cấp.</w:t>
      </w:r>
    </w:p>
    <w:p w14:paraId="00BEC55D" w14:textId="77777777" w:rsidR="00B770B5" w:rsidRPr="00AA3415" w:rsidRDefault="00B770B5" w:rsidP="00B770B5">
      <w:pPr>
        <w:pStyle w:val="NoSpacing"/>
        <w:rPr>
          <w:rFonts w:ascii="Arial" w:hAnsi="Arial" w:cs="Arial"/>
          <w:sz w:val="20"/>
          <w:szCs w:val="20"/>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Cư dân Ohio yêu cầu hỗ trợ tài chính trước tiên phải nộp đơn xin hỗ trợ sẵn có của chính phủ, bao gồm nhưng không giới hạn hỗ trợ Ohio Medicaid (Khởi Đầu Mạnh Khỏe và Gia Đình Mạnh Khỏe), Chương Trình Bảo Đảm Chăm Sóc Của Bệnh Viện Của Ohio (HCAP) và Hội Đồng về Thức Uống Có Cồn, Chất Kích Thích và Sức Khỏe Tâm Thần (ADAMH). Công dân Ohio được trừ thuế An Sinh Xã Hội và Medicare phải cung cấp một mẫu đơn 4029 “Đơn Xin Trừ Thuế An Sinh Xã Hội Và Medicare Và Miễn Trừ Phúc Lợi” đã điền đầy đủ để được miễn trừ yêu cầu này.  Những bệnh nhân là cư dân Ohio nhưng không đủ điều kiện để hưởng phúc lợi theo các chương trình này và những bệnh nhân không phải cư dân Ohio được chăm sóc y tế khẩn cấp tại Nationwide Children’s có thể đủ điều kiện nhận hỗ trợ tài chính căn cứ theo Tổng Thu Nhập và Quy Mô Gia Đình như sau: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200% trở xuống so với Mức Nghèo Của Liên Bang (FPL) sẽ được miễn trừ 100% Trách Nhiệm Bệnh Nhân.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201% đến 250% so với Mức Nghèo Của Liên Bang sẽ được miễn trừ 80% Trách Nhiệm Bệnh Nhân.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251% đến 300% so với Mức Nghèo Của Liên Bang sẽ được miễn trừ 60% Trách Nhiệm Bệnh Nhân.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301% đến 400% so với Mức Nghèo Của Liên Bang sẽ được miễn trừ 45% Trách Nhiệm Bệnh Nhân.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Các công dân Ohio có mức thu nhập gia đình trên 200% nhưng dưới 450% so với Mức Nghèo Của Liên Bang và bị Nationwide Children’s tính phí vượt quá 20% thu nhập hộ gia đình hàng năm sẽ được coi là khó khăn về mặt y tế theo các mục đích của chính sách này. Các gia đình khó khăn về mặt y tế sẽ đủ điều kiện để được hưởng mức giảm trừ Trách Nhiệm Bệnh Nhân cao hơn, với số tiền sao cho Trách Nhiệm Bệnh Nhân của gia đình đó đối với tất cả các hóa đơn của Nationwide Children’s bằng một tỷ lệ phần trăm (%) của thu nhập hộ gia đình hàng năm như được nêu dưới đây: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Thu nhập ở mức 200% trở xuống so với Mức Nghèo Của Liên Bang (FPL) sẽ được miễn trừ 100% Trách Nhiệm Bệnh Nhân.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Thu nhập ở mức từ 201% đến 250% so với Mức Nghèo Của Liên Bang sẽ được miễn trừ xuống số tiền phí tương đương với 5% thu nhập hộ gia đình hàng năm.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Thu nhập ở mức từ 251% đến 300% so với Mức Nghèo Của Liên Bang sẽ được miễn trừ xuống số tiền phí tương đương với 7% thu nhập hộ gia đình hàng năm.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Thu nhập ở mức từ 301% đến 450% so với Mức Nghèo Của Liên Bang sẽ được miễn trừ xuống số tiền phí tương đương với 10% thu nhập hộ gia đình hàng năm.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Công dân Hoa Kỳ không phải công dân Ohio yêu cầu hỗ trợ tài chính để nhận chăm sóc y tế không khẩn cấp phải được phê duyệt trước về hỗ trợ tài chính trước khi nhận chăm sóc không khẩn cấp đó.  Quy trình phê duyệt trước này sẽ yêu cầu cá nhân nộp xác thực y tế đối với các dịch vụ sẽ được thực hiện tại Nationwide Children so với cơ sở chăm sóc sức khỏe tại bang cư trú của bệnh nhân.  Xác thực này sẽ được Nationwide Children’s xem xét và bệnh nhân được Nationwide Children’s xác định là đã nộp xác thực y tế thích đáng có thể đủ điều kiện nhận hỗ trợ tài chính dựa trên Tổng Thu Nhập và Quy Mô Gia Đình như sau:</w:t>
      </w:r>
    </w:p>
    <w:p w14:paraId="1CF851D7" w14:textId="77777777" w:rsidR="00B770B5" w:rsidRPr="00AA3415" w:rsidRDefault="00B770B5" w:rsidP="00B770B5">
      <w:pPr>
        <w:pStyle w:val="NoSpacing"/>
        <w:rPr>
          <w:rFonts w:ascii="Arial" w:hAnsi="Arial" w:cs="Arial"/>
          <w:sz w:val="20"/>
          <w:szCs w:val="20"/>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200% trở xuống so với Mức Nghèo Của Liên Bang (FPL) sẽ được miễn trừ 100% Trách Nhiệm Bệnh Nhân.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201% đến 250% so với Mức Nghèo Của Liên Bang sẽ được miễn trừ 80% Trách Nhiệm Bệnh Nhân.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251% đến 300% so với Mức Nghèo Của Liên Bang sẽ được miễn trừ 60% Trách Nhiệm Bệnh Nhân.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Thu nhập ở mức từ 301% đến 400% so với Mức Nghèo Của Liên Bang sẽ được miễn trừ 45% Trách Nhiệm Bệnh Nhân.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Công dân không phải công dân Hoa Kỳ yêu cầu hỗ trợ tài chính để nhận chăm sóc y tế không khẩn cấp phải được phê duyệt trước về hỗ trợ tài chính trước khi nhận chăm sóc không khẩn cấp đó theo Chính Sách và Quy Trình dành cho Bệnh Nhân Từ Thiện Quốc Tế của Nationwide Children’s. Ban Chỉ Đạo Bệnh Nhân Quốc tế của Nationwide Children’s xác định xem bệnh nhân quốc tế có đủ điều kiện để nhận chăm sóc từ thiện hay không dựa trên một số tiêu chí, bao gồm phương pháp can thiệp y tế cần thiết, khả năng thành công trong việc giải quyết các bệnh trạng y tế cơ bản của việc can thiệp và được quản lý thích đáng sau khi can thiệp, Nationwide Children’s có phải đơn vị duy nhất có thể cung cấp việc can thiệp đó hay không, độ sẵn có của các dịch vụ đó trong phạm vi quốc gia cư trú của bệnh nhân, giới hạn ngân sách, và các tiêu chí tương tự khác như Ban Chỉ Đạo có thể xác định độ thích đáng để nguồn lực chăm sóc từ thiện của Nationwide Children’s dành cho các trường hợp quốc tế được sử dụng với độ hiệu quả và hiệu dụng cao nhất. Thông tin về độ sẵn có của việc chăm sóc từ thiện dành cho các bệnh nhân quốc tế được cung cấp bằng cách liên hệ Trung Tâm Tiếp Đón Nationwide Children’s.</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Người được nhận Medicaid có tiếp nhận Chăm Sóc Cần Thiết Về Mặt Y Tế không được chi trả bởi Medicaid sẽ được tự động miễn trừ 100% Trách Nhiệm Bệnh Nhân đối với những Chăm Sóc Cần Thiết Về Mặt Y Tế đó. Không yêu cầu đơn xin hỗ trợ tài chính trong các trường hợp này.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Các gia đình cung cấp cho Bộ Phận Khách Hàng Bệnh Nhân của Nationwide Children’s một Mẫu Đơn 4029 của Sở Thuế Vụ (IRS) đã điền đầy đủ hoặc tài liệu khác đáp ứng yêu cầu của Nationwide Children’s, trong đó xác nhận rằng gia đình đã từ bỏ quyền được hưởng các phúc lợi của chính phủ vì lý do tôn giáo của gia đình, sẽ đủ điều kiện để được giảm trừ Trách Nhiệm Bệnh Nhân tương đương với mức được quy định theo FAP này cho những người có thu nhập từ 301% đến 400% FPL. Không yêu cầu đơn xin hỗ trợ tài chính trong các trường hợp này.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Các gia đình có địa chỉ là “Trung Tâm Dành Cho Người Vô Gia Cư” sẽ đủ điều kiện để được miễn trừ 100% Trách Nhiệm Bệnh Nhân.  Không yêu cầu đơn xin hỗ trợ tài chính trong các trường hợp này.</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Bộ Phận Khách Hàng Bệnh Nhân Nationwide Children’s có thẩm quyền tối cao trong việc xác định kết quả đạt tiêu chuẩn nhận hỗ trợ tài chính theo chính sách này.</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Cơ Sở Tính Toán Số Tiền Tính Phí Cho Bệnh Nhân </w:t>
      </w:r>
    </w:p>
    <w:p w14:paraId="41810B13" w14:textId="77777777" w:rsidR="00E75EB7" w:rsidRPr="00FA3C0E" w:rsidRDefault="00E75EB7" w:rsidP="003E247C">
      <w:pPr>
        <w:spacing w:after="0" w:line="240" w:lineRule="auto"/>
        <w:rPr>
          <w:rFonts w:ascii="Arial" w:hAnsi="Arial" w:cs="Arial"/>
          <w:sz w:val="20"/>
          <w:szCs w:val="20"/>
        </w:rPr>
      </w:pPr>
    </w:p>
    <w:p w14:paraId="0E92B2F2" w14:textId="2BD12C72" w:rsidR="003E247C" w:rsidRPr="00FA3C0E" w:rsidRDefault="003E247C" w:rsidP="003E247C">
      <w:pPr>
        <w:spacing w:after="0" w:line="240" w:lineRule="auto"/>
        <w:rPr>
          <w:rFonts w:ascii="Arial" w:hAnsi="Arial" w:cs="Arial"/>
          <w:sz w:val="20"/>
          <w:szCs w:val="20"/>
        </w:rPr>
      </w:pPr>
      <w:r>
        <w:rPr>
          <w:rFonts w:ascii="Arial" w:hAnsi="Arial"/>
          <w:sz w:val="20"/>
        </w:rPr>
        <w:t>Số tiền tính phí cho bệnh nhân đủ điều kiện hưởng hỗ trợ tài chính theo FAP này cho trường hợp cấp cứu và Chăm Sóc Cần Thiết Về Mặt Y Tế sẽ không vượt quá AGB. Nationwide Children’s tính toán AGB bằng phương pháp “Look-Back”, như được định nghĩa theo quy định liên bang, dựa trên tất cả các yêu cầu thanh toán mà Medicare tính phí dịch vụ và tất cả các công ty bảo hiểm y tế tư nhân cho phép trong thời hạn 12 tháng, chia cho Tổng Chi Phí của Nationwide Children’s đối với các yêu cầu thanh toán đó. Nationwide Children’s sẽ cập nhật công thức tính AGB vào ngày 01 tháng 01 hàng năm, bằng cách sử dụng dữ liệu của kỳ 12 tháng kết thúc vào ngày 30 tháng 9 của năm trước ngày 01 tháng 01 đó. Trong năm dương lịch 202</w:t>
      </w:r>
      <w:r w:rsidR="003F2FDF">
        <w:rPr>
          <w:rFonts w:ascii="Arial" w:hAnsi="Arial"/>
          <w:sz w:val="20"/>
          <w:lang w:val="en-US"/>
        </w:rPr>
        <w:t>6</w:t>
      </w:r>
      <w:r>
        <w:rPr>
          <w:rFonts w:ascii="Arial" w:hAnsi="Arial"/>
          <w:sz w:val="20"/>
        </w:rPr>
        <w:t>, AGB bằ</w:t>
      </w:r>
      <w:r w:rsidR="00AA3415">
        <w:rPr>
          <w:rFonts w:ascii="Arial" w:hAnsi="Arial"/>
          <w:sz w:val="20"/>
        </w:rPr>
        <w:t>ng 78.</w:t>
      </w:r>
      <w:r w:rsidR="00E46F4E" w:rsidRPr="003F2FDF">
        <w:rPr>
          <w:rFonts w:ascii="Arial" w:hAnsi="Arial"/>
          <w:sz w:val="20"/>
        </w:rPr>
        <w:t>6</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Cá nhân đủ điều kiện nhận hỗ trợ tài chính chỉ bị tính phí số tiền mà người đó chịu trách nhiệm chi trả cá nhân, sau khi áp dụng tất cả các khoản khấu trừ và giảm giá (bao gồm các khoản giảm giá được áp dụng theo FAP) và ít hơn mọi khoản tiền được công ty bảo hiểm bồi hoàn (bao gồm các bên chi trả cả thương mại lẫn chính phủ).</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Phương Pháp Xin Hỗ Trợ Tài Chính</w:t>
      </w:r>
    </w:p>
    <w:p w14:paraId="1F5AEFDD" w14:textId="77777777" w:rsidR="007642EE" w:rsidRPr="00FA3C0E" w:rsidRDefault="007642EE" w:rsidP="00084B28">
      <w:pPr>
        <w:pStyle w:val="NoSpacing"/>
        <w:rPr>
          <w:rFonts w:ascii="Arial" w:hAnsi="Arial" w:cs="Arial"/>
          <w:sz w:val="20"/>
          <w:szCs w:val="20"/>
        </w:rPr>
      </w:pPr>
    </w:p>
    <w:p w14:paraId="7EB0C2F4" w14:textId="7A0C9B66" w:rsidR="00D260D8" w:rsidRPr="00AA3415" w:rsidRDefault="00D260D8" w:rsidP="00084B28">
      <w:pPr>
        <w:pStyle w:val="NoSpacing"/>
        <w:rPr>
          <w:rFonts w:ascii="Arial" w:hAnsi="Arial" w:cs="Arial"/>
          <w:sz w:val="20"/>
          <w:szCs w:val="20"/>
        </w:rPr>
      </w:pPr>
      <w:r>
        <w:rPr>
          <w:rFonts w:ascii="Arial" w:hAnsi="Arial"/>
          <w:sz w:val="20"/>
        </w:rPr>
        <w:t>Để được xem xét hỗ trợ tài chính, cá nhân phải nộp đơn xin hỗ trợ tài chính cho Bộ Phận Khách Hàng Bệnh Nhân của Nationwide Children’s. Các cá nhân tìm kiếm hỗ trợ tài chính theo Chính Sách này với mức giảm trừ 100% (tức là những cá nhân có thu nhập gia đình từ 200% trở xuống so với Mức Nghèo Của Liên Bang) phải điền vào Đơn Xin Hỗ Trợ Tài Chính, và cung cấp thông tin và tài liệu được liệt kê trong Đơn Xin Hỗ Trợ Tài Chính. Tất cả người nộp đơn khác có thể cung cấp thông tin cần thiết cho Bộ Phận Khách Hàng Bệnh Nhân qua điện thoại, không bắt buộc cung cấp bản sao giấy. Nationwide Children’s có quyền yêu cầu bản sao các chi phiếu, chứng từ W-2, và hoàn thuế thu nhập.</w:t>
      </w:r>
      <w:r w:rsidR="007D26E5" w:rsidRPr="00AA3415">
        <w:rPr>
          <w:rFonts w:ascii="Arial" w:hAnsi="Arial"/>
          <w:sz w:val="20"/>
        </w:rPr>
        <w:t xml:space="preserve">  </w:t>
      </w:r>
      <w:r w:rsidR="007D26E5" w:rsidRPr="00582BC6">
        <w:rPr>
          <w:rFonts w:ascii="Arial" w:hAnsi="Arial" w:cs="Arial"/>
          <w:sz w:val="20"/>
          <w:szCs w:val="20"/>
          <w:lang w:val="vi"/>
        </w:rPr>
        <w:t>Chấp nhận chữ ký điện tử trên đơn.</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Đơn Xin Hỗ Trợ Tài Chính (dù bằng văn bản hay qua điện thoại, như được nêu trên đây) phải được lập như sau:</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Các dịch vụ dành cho bệnh nhân ngoại trú đối với bệnh nhân từ 100% trở xuống so với Mức Nghèo Của Liên Bang sẽ được chi trả bởi HCAP, và yêu cầu phải nộp đơn mới sau mỗi 90 ngày kể từ ngày thực hiện dịch vụ đầu tiên. Dịch vụ dành cho bệnh nhân ngoại trú đối với tất cả các bệnh nhân khác yêu cầu phải nộp đơn mới sau mỗi 180 ngày, kể từ ngày thực hiện dịch vụ đầu tiên. Người nhận chương trình Hỗ Trợ Khuyết Tật (DA) hoặc chương trình tiếp nối của chương trình đó theo HCAP phải nộp đơn mới mỗi tháng.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Các bệnh nhân nội trú nhập viện, trừ khi được nhập viện trong vòng 45 xuất viện với cùng điều kiện cơ bản, phải căn cứ theo đơn xin hỗ trợ tài chính riêng.  Các lần nhận viện tiếp theo có thể được căn cứ trên cùng đơn xin, nhưng chỉ nếu trong vòng 45 ngày và cho điều kiện liên quan.  Các khách hàng bệnh nhân ngoại trú có thể được thêm vào đơn xin có khách hàng bệnh nhân nội trú, tuy nhiên, không thể thêm lần thăm khám của bệnh nhân nội trú vào đơn xin có khách hàng bệnh nhân ngoại trú.</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Nationwide Children’s không sử dụng các kết quả xác định đủ điều kiện FAP trước để xác định xem cá nhân có đủ điều kiện nhận hỗ trợ tài chính theo chính sách này hay không.</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Dự Đoán Đủ Điều Kiện Để Nhận Hỗ Trợ Tài Chính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Bệnh Viện Nationwide Children’s có thể sử dụng bên thứ ba để tiến hành xem xét thông tin bệnh nhân nhằm đánh giá kết quả đủ điều kiện FAP cho mức hỗ trợ chung nhất của FAP. Đánh giá và phân tích này sử dụng mô hình dự báo được công nhận trong ngành chăm sóc sức khỏe. Đánh giá này sẽ không được sử dụng để xác định kết quả đủ điều kiện cho mức hỗ trợ chung nhất thấp hơn của FAP.</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Hành Động Có Thể Được Thực Hiện Trong Trường Hợp Không Thanh Toán</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Nationwide Children’s sẽ thực hiện mọi nỗ lực để thu nợ và tiến hành các nỗ lực thích đáng để xác định cá nhân có đủ điều kiện FAP hay không trước khi thực hiện Hành Động Thu Nợ Quá Hạn. Các nỗ lực thích đáng này bao gồm gửi thông báo và thực hiện cuộc gọi đến bên chịu trách nhiệm theo lịch được quy định bên dưới trong 120 ngày xuất viện đầu tiên. Nationwide Children’s có thể sử dụng dịch vụ của Nhà Cung Cấp Bên Ngoài để hỗ trợ thu nợ.</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ngày</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Thông báo xuất hóa đơn đầu tiên được gửi, kèm với thông báo bằng văn bản rằng hỗ trợ tài chính được áp dụng, mẫu đơn xin FAP và cách thức cá nhân có thể nhận hỗ trợ với quy trình xin FAP.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ngày</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Thông báo xuất hóa đơn thứ hai được gửi, bản tóm tắt FAP bằng ngôn ngữ dễ hiểu và thông báo rằng Nationwide Children’s có ý định báo cáo khách hàng không thanh toán cho cơ quan tín dụng nếu các khoản thanh toán đó không được chi trả trong vòng 365 ngày tính từ thông báo xuất hóa đơn sau khi xuất viện đầu tiên.</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Ngoài ra, một cuộc gọi điện thoại được thực hiện để thông báo bằng miệng cho cá nhân về FAP của Nationwide Children’s và cách thức cá nhân có thể nhận hỗ trợ với quy trình xin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ngày</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Thông báo xuất hóa đơn thứ ba được gửi, bản tóm tắt FAP bằng ngôn ngữ dễ hiểu và thông báo rằng Nationwide Children’s có ý định báo cáo khách hàng không thanh toán cho cơ quan tín dụng nếu các khoản thanh toán đó không được chi trả trong vòng 365 ngày tính từ thông báo xuất hóa đơn sau khi xuất viện đầu tiên.</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Ngoài ra, một cuộc gọi điện thoại được thực hiện để thông báo bằng miệng cho cá nhân về FAP của Nationwide Children’s và cách thức cá nhân có thể nhận hỗ trợ với quy trình xin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ngày</w:t>
            </w:r>
          </w:p>
        </w:tc>
        <w:tc>
          <w:tcPr>
            <w:tcW w:w="8460" w:type="dxa"/>
          </w:tcPr>
          <w:p w14:paraId="03EA9451" w14:textId="5ECC12C4" w:rsidR="000B7F9E" w:rsidRPr="00FA3C0E" w:rsidRDefault="000B7F9E" w:rsidP="000B7F9E">
            <w:pPr>
              <w:pStyle w:val="NoSpacing"/>
              <w:rPr>
                <w:rFonts w:ascii="Arial" w:hAnsi="Arial" w:cs="Arial"/>
                <w:sz w:val="20"/>
                <w:szCs w:val="20"/>
              </w:rPr>
            </w:pPr>
            <w:r>
              <w:rPr>
                <w:rFonts w:ascii="Arial" w:hAnsi="Arial"/>
                <w:sz w:val="20"/>
              </w:rPr>
              <w:t>Thông báo xuất hóa đơn thứ tư được gửi, bản tóm tắt FAP bằng ngôn ngữ dễ hiểu và thông báo rằng Nationwide Children’s có ý định báo cáo khách hàng không thanh toán cho cơ quan tín dụng nếu các khoản thanh toán đó không được chi trả trong vòng 365 ngày tính từ thông báo xuất hóa đơn sau khi xuất viện đầu tiên.</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Ngoài ra, hai cuộc gọi điện thoại được thực hiện để thông báo bằng miệng cho cá nhân về FAP của Nationwide Children’s và cách thức cá nhân có thể nhận hỗ trợ với quy trình xin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Bên cạnh thông báo bằng văn bản rằng hỗ trợ tài chính được áp dụng, đơn xin FAP, và thông tin về cách thức cá nhân có thể nhận hỗ trợ với quy trình xin FAP, tất cả các thông báo xuất hóa đơn sẽ bao gồm địa chỉ truy cập trực tiếp trang web, nơi có thể lấy các bản sao của FAP, đơn xin FAP, và bản tóm tắt FAP bằng ngôn ngữ dễ hiểu.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Nationwide Children’s có thể báo cáo khách hàng không thanh toán cho cơ quan tín dụng sau 1 năm kể ngày thông báo xuất hóa đơn đầu tiên.   Nếu hóa đơn của cá nhân được cộng dồn để chi trả cho nhiều đợt chăm sóc, khách hàng không thanh toán sẽ không bị báo cáo cho cơ quan tín dụng ít nhất 120 ngày sau thông báo xuất hóa đơn sau khi xuất viện đầu tiên đối với đợt chăm sóc gần nhất có bao gồm trong khoản cộng dồn.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Nếu cá nhân nộp đơn xin FAP không hoàn chỉnh trong giai đoạn xin (nghĩa là 240 sau thông báo xuất hóa đơn sau khi xuất viện đầu tiên), Nationwide Children’s sẽ cung cấp cho cá nhân một thông báo bằng văn bản mô tả thông tin bổ sung và/hoặc chứng từ yêu cầu theo GAP hoặc đơn xin FAP phải được nộp để hoàn tất quá trình xin FAP cũng như thông tin liên hệ để bộ phận Nationwide Children’s có thể cung cấp thông tin về FAP và có thể cung cấp sự hỗ trợ với quy trình xin.</w:t>
      </w:r>
      <w:r>
        <w:rPr>
          <w:rFonts w:ascii="Arial" w:hAnsi="Arial"/>
        </w:rPr>
        <w:t xml:space="preserve"> </w:t>
      </w:r>
      <w:r>
        <w:rPr>
          <w:rFonts w:ascii="Arial" w:hAnsi="Arial"/>
          <w:sz w:val="20"/>
        </w:rPr>
        <w:t xml:space="preserve">Nationwide Children’s sẽ tạm ngưng mọi Hành Động Thu Nợ Quá Hạn (và, nếu phù hợp, thông báo cho Nhà Cung Cấp Bên Ngoài của mình để ngừng các nỗ lực như vậy) cho đến khi Nationwide Children’s xác định được cá nhân có đủ điều kiện nhận hỗ trợ tài chính theo FAP hoặc cá nhân không phản hồi yêu cầu thông tin bổ sung và/hoặc chứng từ trong khoảng thời gian thích đáng hay không.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Khi nhận đơn xin FAP hoàn chỉnh trong quá trình xin, Nationwide Children’s sẽ xác định xem cá nhân có đủ điều kiện nhận FAP cho việc chăm sóc hay không và thông báo cho cá nhân bằng văn bản về kết quả xác định đủ điều kiện này (bao gồm, nếu phù hợp, hỗ trợ mà cá nhân đủ điều kiện nhận) và cơ sở của kết quả xác định này. Nếu cá nhân được xác định là đủ điều kiện nhận hỗ trợ ngoài chăm sóc miễn phí, Nationwide Children’s sẽ:</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Cung cấp cho cá nhân thông báo xuất hóa đơn chỉ ra số tiền mà cá nhân phải chịu cho việc chăm sóc với tư cách cá nhân đủ điều kiện nhận FAP và cách thức số tiền này được xác định. Thông báo xuất hóa đơn đó cũng sẽ mô tả cách thức cá nhân có thể nhận thông tin liên quan đến AGB cho việc chăm sóc.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Hoàn tiền cho cá nhân mọi khoản tiền mà người đó đã chi trả cho việc chăm sóc vượt quá số tiền mà người đó được xác định là chịu trách nhiệm chi trả cá nhân với tư cách cá nhân đủ điều kiện nhận FAP.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Thực hiện mọi biện pháp khả dụng để thu hồi mọi Hành Động Thu Nợ Quá Hạn đã được thực hiện đối với cá nhân để nhận khoản thanh toán đó.</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Nếu cá nhân gửi đơn xin FAP và, trước khi Nationwide Children’s xác định xem cá nhân có đủ điều kiện nhập FAP hay không, cá nhân nộp đơn xin xét đủ điều kiện nhận Medicaid, Nationwide Children’s sẽ hoãn lại việc xác định xem cá nhân có đủ điều kiện nhập FAP hay không, và sẽ không thực hiện bất kỳ Hành Động Thu Nợ Quá Hạn nào đối với cá nhân, cho đến sau khi đơn xin nhận Medicaid của cá nhân được hoàn tất và gửi và kết quả xác định cá nhân có đủ điều kiện nhận Medicaid hay không được đưa ra.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Danh Sách Nhà Cung Cấp Cung Cấp Dịch Vụ Cấp Cứu Và Chăm Sóc Cần Thiết Về Mặt Y Tế Khác Tại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Quý vị có thể xem danh sách đính kèm liệt kê thông tin chi tiết các nhà cung cấp cung cấp dịch vụ cấp cứu và Chăm Sóc Cần Thiết Về Mặt Y Tế khác tại Nationwide Children’s và các dịch vụ chuyên nghiệp của họ có được bao gồm trong FAP của Nationwide Children’s hay không tại địa chỉ http://www.nationwidechildrens.org/financial-assistance, hoặc có thể xin bản sao giấy bằng cách liên hệ với các bộ phận được liệt kê trong phần Thông Tin Liên Hệ dưới đây.</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Cung Cấp Chính sách Hỗ trợ Tài Chính, Bản Tóm Tắt Chính sách Hỗ Trợ Tài Chính Bằng Ngôn Ngữ Dễ Hiểu và Đơn Xin Hỗ Trợ Tài Chính</w:t>
      </w:r>
    </w:p>
    <w:p w14:paraId="758CAED9" w14:textId="77777777" w:rsidR="006708E4" w:rsidRPr="009270DF" w:rsidRDefault="007642EE" w:rsidP="00084B28">
      <w:pPr>
        <w:pStyle w:val="NoSpacing"/>
        <w:rPr>
          <w:rStyle w:val="Hyperlink"/>
          <w:color w:val="auto"/>
          <w:sz w:val="16"/>
          <w:szCs w:val="16"/>
          <w:u w:val="none"/>
        </w:rPr>
      </w:pPr>
      <w:r w:rsidRPr="009270DF">
        <w:rPr>
          <w:rStyle w:val="Hyperlink"/>
          <w:rFonts w:cs="Arial"/>
          <w:color w:val="auto"/>
          <w:sz w:val="16"/>
          <w:szCs w:val="16"/>
          <w:u w:val="none"/>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Truy Cập Trang Web</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Arial"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Bản Sao Giấy</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Cung cấp miễn phí theo yêu cầu cho bệnh nhân hoặc bên chịu trách nhiệm.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Bản sao giấy được cung cấp khi nhập viện tại mọi điểm nhập viện hoặc khu vực đăng ký tại cơ sở chính của Nationwide Children’s (bao gồm Phòng Cấp Cứu) và các cơ sở ngoại vi.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Thư và Đơn Xin Hỗ Trợ Tài Chính được gửi bằng thư đến cho bệnh nhân và/hoặc phụ huynh theo yêu cầu.</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Tất cả thông báo xuất hóa đơn đều có Đơn Xin Hỗ Trợ Tài Chính trên mặt sau thông báo cũng như thông tin liên hệ để bộ phận có thể cung cấp sự hỗ trợ trong quá trình xin.</w:t>
      </w:r>
    </w:p>
    <w:p w14:paraId="11A23C4C" w14:textId="77777777" w:rsidR="00705098" w:rsidRPr="009270DF" w:rsidRDefault="00705098" w:rsidP="00705098">
      <w:pPr>
        <w:pStyle w:val="NoSpacing"/>
        <w:rPr>
          <w:rStyle w:val="Hyperlink"/>
          <w:color w:val="auto"/>
          <w:sz w:val="16"/>
          <w:szCs w:val="16"/>
          <w:u w:val="none"/>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Thông Báo Và Thông Tin Được Cung Cấp Cho Bệnh Nhân Cơ Sở Bệnh Viện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Bảng chỉ dẫn được đặt tại mọi điểm nhập viện hoặc khu vực đăng ký tại cơ sở chính của Nationwide Children’s (bao gồm Phòng Cấp Cứu) và các cơ sở ngoại vi để trợ giúp bệnh nhân hoặc bên chịu trách nhiệm về việc cung cấp hỗ trợ tài chính.</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Cuộc gọi điện thoại tự động đề nghị cung cấp hỗ trợ tài chính được thực hiện sau khi thông báo xuất hóa đơn thứ hai được gửi.</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Cố Vấn Tài Chính của Nationwide Children’s đến thăm bệnh nhân có nhu cầu nhận hỗ trợ tài chính tại phòng của họ hoặc tại phòng khám.</w:t>
      </w:r>
    </w:p>
    <w:p w14:paraId="07BC5A67" w14:textId="77777777" w:rsidR="00690350" w:rsidRPr="009270DF" w:rsidRDefault="00690350" w:rsidP="00084B28">
      <w:pPr>
        <w:pStyle w:val="NoSpacing"/>
        <w:rPr>
          <w:rStyle w:val="Hyperlink"/>
          <w:color w:val="auto"/>
          <w:sz w:val="16"/>
          <w:szCs w:val="16"/>
          <w:u w:val="none"/>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Thông Báo Và Thông Tin Cho Cộng Đồng Lớn Hơn</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FAP, Bản Tóm Tắt FAP Bằng Ngôn Ngữ Dễ Hiểu và Đơn Xin Hỗ Trợ Tài Chính được cung cấp tại địa chỉ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Nationwide Children’s cũng định kỳ chia sẻ Bản Tóm Tắt FAP Bằng Ngôn Ngữ Dễ Hiểu và Đơn Xin Hỗ Trợ Tài Chính với các Trung Tâm Y Tế Liên Bang tại Hạt Franklin, cũng như các bác sĩ cộng đồng là thành viên của những đơn vị y tế của Nationwide Children’s để cung cấp tài liệu cho bệnh nhân của các nhà cung cấp này. </w:t>
      </w:r>
    </w:p>
    <w:p w14:paraId="563F2E1E" w14:textId="77777777" w:rsidR="00C15955" w:rsidRPr="009270DF" w:rsidRDefault="00C15955" w:rsidP="00C15955">
      <w:pPr>
        <w:pStyle w:val="NoSpacing"/>
        <w:rPr>
          <w:rStyle w:val="Hyperlink"/>
          <w:rFonts w:ascii="Arial" w:hAnsi="Arial" w:cs="Arial"/>
          <w:color w:val="auto"/>
          <w:sz w:val="16"/>
          <w:szCs w:val="16"/>
          <w:u w:val="none"/>
        </w:rPr>
      </w:pPr>
    </w:p>
    <w:p w14:paraId="50D9207F" w14:textId="77777777" w:rsidR="00C15955" w:rsidRPr="009270DF" w:rsidRDefault="00C15955" w:rsidP="00C15955">
      <w:pPr>
        <w:pStyle w:val="NoSpacing"/>
        <w:rPr>
          <w:rStyle w:val="Hyperlink"/>
          <w:rFonts w:ascii="Arial" w:hAnsi="Arial" w:cs="Arial"/>
          <w:color w:val="auto"/>
          <w:sz w:val="16"/>
          <w:szCs w:val="16"/>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Văn Bản Được Dịch</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Chính Sách Hỗ Trợ Tài Chính, Đơn Xin Hỗ Trợ Tài Chính và Tóm Tắt FAP Bằng Ngôn Ngữ Dễ Hiểu sẽ được cung cấp bằng ngôn ngữ của mỗi nhóm ngôn ngữ có trình độ thông thạo tiếng Anh hạn chế (LEP) với số lượng dưới 1.000 công dân hoặc 5 phần trăm dân số Hạt Franklin hoặc các nhóm khác phù hợp chịu ảnh hưởng của Nationwide Children’s. Hàng năm, Giám Đốc Bộ Phận Khách Hàng Bệnh Nhân sẽ chịu trách nhiệm xem xét nhu cầu ngôn ngữ và cung cấp bản dịch cho các tài liệu này, nếu cần.</w:t>
      </w:r>
    </w:p>
    <w:p w14:paraId="0D5B6D5A" w14:textId="77777777" w:rsidR="007642EE" w:rsidRPr="009270DF" w:rsidRDefault="007642EE" w:rsidP="00084B28">
      <w:pPr>
        <w:pStyle w:val="NoSpacing"/>
        <w:rPr>
          <w:rStyle w:val="Hyperlink"/>
          <w:color w:val="auto"/>
          <w:sz w:val="16"/>
          <w:szCs w:val="16"/>
          <w:u w:val="none"/>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Thông Tin Liên Hệ</w:t>
      </w:r>
    </w:p>
    <w:p w14:paraId="254356CE" w14:textId="77777777" w:rsidR="00A32FBC" w:rsidRPr="009270DF" w:rsidRDefault="00A32FBC" w:rsidP="00084B28">
      <w:pPr>
        <w:pStyle w:val="NoSpacing"/>
        <w:rPr>
          <w:rStyle w:val="Hyperlink"/>
          <w:color w:val="auto"/>
          <w:sz w:val="16"/>
          <w:szCs w:val="16"/>
          <w:u w:val="none"/>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Cố Vấn</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Địa Điểm</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Điện Thoại</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  Cố Vấn Tài Chính</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Văn Phòng Nhận</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hoặc cuộc hẹn tại địa điểm bất kỳ của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Dịch Vụ Khách Hàng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Khách Hàng Bệnh Nhân</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Chỉ Gọi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9270DF" w:rsidRDefault="00084B28" w:rsidP="009270DF">
      <w:pPr>
        <w:pStyle w:val="NoSpacing"/>
        <w:rPr>
          <w:rStyle w:val="Hyperlink"/>
          <w:color w:val="auto"/>
          <w:sz w:val="16"/>
          <w:szCs w:val="16"/>
          <w:u w:val="none"/>
        </w:rPr>
      </w:pPr>
    </w:p>
    <w:p w14:paraId="1427DC2B" w14:textId="77777777" w:rsidR="00084B28" w:rsidRPr="009270DF" w:rsidRDefault="00084B28" w:rsidP="009270DF">
      <w:pPr>
        <w:pStyle w:val="NoSpacing"/>
        <w:rPr>
          <w:rStyle w:val="Hyperlink"/>
          <w:color w:val="auto"/>
          <w:sz w:val="16"/>
          <w:szCs w:val="16"/>
          <w:u w:val="none"/>
        </w:rPr>
      </w:pPr>
    </w:p>
    <w:p w14:paraId="5836154B" w14:textId="77777777" w:rsidR="00084B28" w:rsidRPr="009270DF" w:rsidRDefault="00084B28" w:rsidP="009270DF">
      <w:pPr>
        <w:pStyle w:val="NoSpacing"/>
        <w:rPr>
          <w:rStyle w:val="Hyperlink"/>
          <w:color w:val="auto"/>
          <w:sz w:val="16"/>
          <w:szCs w:val="16"/>
          <w:u w:val="none"/>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Được phê duyệt bởi Ủy Ban Tài Chính và Kiểm Toán</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thuộc Hội Đồng Quản Trị của Bệnh Viện Nationwide Children's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vào ngày ___ tháng 11 năm 2021:</w:t>
      </w:r>
    </w:p>
    <w:p w14:paraId="60F59861" w14:textId="77777777" w:rsidR="00E21825" w:rsidRPr="009270DF" w:rsidRDefault="00E21825" w:rsidP="009270DF">
      <w:pPr>
        <w:pStyle w:val="NoSpacing"/>
        <w:rPr>
          <w:rStyle w:val="Hyperlink"/>
          <w:color w:val="auto"/>
          <w:sz w:val="16"/>
          <w:szCs w:val="16"/>
          <w:u w:val="none"/>
        </w:rPr>
      </w:pPr>
    </w:p>
    <w:p w14:paraId="48E3A471" w14:textId="77777777" w:rsidR="00E21825" w:rsidRPr="009270DF" w:rsidRDefault="00E21825" w:rsidP="009270DF">
      <w:pPr>
        <w:pStyle w:val="NoSpacing"/>
        <w:rPr>
          <w:rStyle w:val="Hyperlink"/>
          <w:color w:val="auto"/>
          <w:sz w:val="16"/>
          <w:szCs w:val="16"/>
          <w:u w:val="none"/>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Luke Brown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Ngày</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Giám Đốc Tài Chính</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sectPr w:rsidR="00E21825"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5FB52B14"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Trang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AA3415">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AA3415">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0FEF99AA"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Trang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AA3415">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AA3415">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3AFCE31C" w:rsidR="00783B38" w:rsidRPr="008F68D3" w:rsidRDefault="00783B38">
    <w:pPr>
      <w:pStyle w:val="Header"/>
      <w:rPr>
        <w:lang w:val="en-US"/>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8F68D3">
      <w:tab/>
    </w:r>
    <w:r w:rsidR="008F68D3">
      <w:tab/>
    </w:r>
    <w:r w:rsidR="008F68D3" w:rsidRPr="008F68D3">
      <w:rPr>
        <w:rFonts w:ascii="Arial" w:hAnsi="Arial" w:cs="Arial"/>
        <w:b/>
        <w:bCs/>
        <w:sz w:val="20"/>
        <w:szCs w:val="20"/>
        <w:lang w:val="en-US"/>
      </w:rPr>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89537">
    <w:abstractNumId w:val="22"/>
  </w:num>
  <w:num w:numId="2" w16cid:durableId="1855338731">
    <w:abstractNumId w:val="13"/>
  </w:num>
  <w:num w:numId="3" w16cid:durableId="1221747031">
    <w:abstractNumId w:val="17"/>
  </w:num>
  <w:num w:numId="4" w16cid:durableId="1824661262">
    <w:abstractNumId w:val="24"/>
  </w:num>
  <w:num w:numId="5" w16cid:durableId="1164934640">
    <w:abstractNumId w:val="21"/>
  </w:num>
  <w:num w:numId="6" w16cid:durableId="878400825">
    <w:abstractNumId w:val="33"/>
  </w:num>
  <w:num w:numId="7" w16cid:durableId="1623028741">
    <w:abstractNumId w:val="4"/>
  </w:num>
  <w:num w:numId="8" w16cid:durableId="860362424">
    <w:abstractNumId w:val="5"/>
  </w:num>
  <w:num w:numId="9" w16cid:durableId="1936939612">
    <w:abstractNumId w:val="25"/>
  </w:num>
  <w:num w:numId="10" w16cid:durableId="693113240">
    <w:abstractNumId w:val="18"/>
  </w:num>
  <w:num w:numId="11" w16cid:durableId="1751930848">
    <w:abstractNumId w:val="10"/>
  </w:num>
  <w:num w:numId="12" w16cid:durableId="1633943624">
    <w:abstractNumId w:val="30"/>
  </w:num>
  <w:num w:numId="13" w16cid:durableId="549343516">
    <w:abstractNumId w:val="8"/>
  </w:num>
  <w:num w:numId="14" w16cid:durableId="984044170">
    <w:abstractNumId w:val="1"/>
  </w:num>
  <w:num w:numId="15" w16cid:durableId="822506487">
    <w:abstractNumId w:val="29"/>
  </w:num>
  <w:num w:numId="16" w16cid:durableId="702557420">
    <w:abstractNumId w:val="26"/>
  </w:num>
  <w:num w:numId="17" w16cid:durableId="532613300">
    <w:abstractNumId w:val="20"/>
  </w:num>
  <w:num w:numId="18" w16cid:durableId="448815653">
    <w:abstractNumId w:val="7"/>
  </w:num>
  <w:num w:numId="19" w16cid:durableId="1402950063">
    <w:abstractNumId w:val="6"/>
  </w:num>
  <w:num w:numId="20" w16cid:durableId="427434576">
    <w:abstractNumId w:val="2"/>
  </w:num>
  <w:num w:numId="21" w16cid:durableId="593442735">
    <w:abstractNumId w:val="0"/>
  </w:num>
  <w:num w:numId="22" w16cid:durableId="1449885254">
    <w:abstractNumId w:val="12"/>
  </w:num>
  <w:num w:numId="23" w16cid:durableId="2121534775">
    <w:abstractNumId w:val="23"/>
  </w:num>
  <w:num w:numId="24" w16cid:durableId="584920654">
    <w:abstractNumId w:val="32"/>
  </w:num>
  <w:num w:numId="25" w16cid:durableId="850222948">
    <w:abstractNumId w:val="31"/>
  </w:num>
  <w:num w:numId="26" w16cid:durableId="1131636352">
    <w:abstractNumId w:val="9"/>
  </w:num>
  <w:num w:numId="27" w16cid:durableId="1032995529">
    <w:abstractNumId w:val="27"/>
  </w:num>
  <w:num w:numId="28" w16cid:durableId="257057283">
    <w:abstractNumId w:val="19"/>
  </w:num>
  <w:num w:numId="29" w16cid:durableId="492722359">
    <w:abstractNumId w:val="14"/>
  </w:num>
  <w:num w:numId="30" w16cid:durableId="1897666282">
    <w:abstractNumId w:val="3"/>
  </w:num>
  <w:num w:numId="31" w16cid:durableId="1225948838">
    <w:abstractNumId w:val="15"/>
  </w:num>
  <w:num w:numId="32" w16cid:durableId="617611668">
    <w:abstractNumId w:val="16"/>
  </w:num>
  <w:num w:numId="33" w16cid:durableId="296104692">
    <w:abstractNumId w:val="11"/>
  </w:num>
  <w:num w:numId="34" w16cid:durableId="195773538">
    <w:abstractNumId w:val="28"/>
  </w:num>
  <w:num w:numId="35" w16cid:durableId="1253932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30D5"/>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66C1D"/>
    <w:rsid w:val="00384FE5"/>
    <w:rsid w:val="003A0769"/>
    <w:rsid w:val="003A4637"/>
    <w:rsid w:val="003A5944"/>
    <w:rsid w:val="003A7D52"/>
    <w:rsid w:val="003B09E6"/>
    <w:rsid w:val="003B2906"/>
    <w:rsid w:val="003B6CD5"/>
    <w:rsid w:val="003C0B6C"/>
    <w:rsid w:val="003D5E68"/>
    <w:rsid w:val="003D626B"/>
    <w:rsid w:val="003E247C"/>
    <w:rsid w:val="003E7A10"/>
    <w:rsid w:val="003F2FDF"/>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3567"/>
    <w:rsid w:val="004D59D8"/>
    <w:rsid w:val="004F6B6E"/>
    <w:rsid w:val="005021C0"/>
    <w:rsid w:val="00503C13"/>
    <w:rsid w:val="0052100F"/>
    <w:rsid w:val="0054144A"/>
    <w:rsid w:val="00546EDC"/>
    <w:rsid w:val="005514DB"/>
    <w:rsid w:val="00562396"/>
    <w:rsid w:val="005738A0"/>
    <w:rsid w:val="00574C56"/>
    <w:rsid w:val="0057723C"/>
    <w:rsid w:val="005A2084"/>
    <w:rsid w:val="005A488A"/>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6A"/>
    <w:rsid w:val="00691EDA"/>
    <w:rsid w:val="006A6AEF"/>
    <w:rsid w:val="006B329B"/>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26E5"/>
    <w:rsid w:val="007D45C8"/>
    <w:rsid w:val="007E5699"/>
    <w:rsid w:val="007F488F"/>
    <w:rsid w:val="007F79DF"/>
    <w:rsid w:val="008072DE"/>
    <w:rsid w:val="00827A33"/>
    <w:rsid w:val="0083367E"/>
    <w:rsid w:val="00843A00"/>
    <w:rsid w:val="008740BB"/>
    <w:rsid w:val="008775D6"/>
    <w:rsid w:val="008A3618"/>
    <w:rsid w:val="008D1ACA"/>
    <w:rsid w:val="008F0F20"/>
    <w:rsid w:val="008F4462"/>
    <w:rsid w:val="008F68D3"/>
    <w:rsid w:val="0090283E"/>
    <w:rsid w:val="009077F4"/>
    <w:rsid w:val="00910FF2"/>
    <w:rsid w:val="00912C2A"/>
    <w:rsid w:val="009161DD"/>
    <w:rsid w:val="00921552"/>
    <w:rsid w:val="00922BE9"/>
    <w:rsid w:val="0092485E"/>
    <w:rsid w:val="009270DF"/>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3415"/>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C08DF"/>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46F4E"/>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Arial" w:hAnsi="Tahoma" w:cs="Tahoma"/>
      <w:sz w:val="16"/>
      <w:szCs w:val="16"/>
    </w:rPr>
  </w:style>
  <w:style w:type="character" w:customStyle="1" w:styleId="BalloonTextChar">
    <w:name w:val="Balloon Text Char"/>
    <w:basedOn w:val="DefaultParagraphFont"/>
    <w:link w:val="BalloonText"/>
    <w:uiPriority w:val="99"/>
    <w:semiHidden/>
    <w:rsid w:val="00C172DB"/>
    <w:rPr>
      <w:rFonts w:ascii="Arial"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Arial"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Arial"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Arial"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Arial"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vi-VN"/>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927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2B4B-A1F7-4B7C-BB42-A2A07AD6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3476</Words>
  <Characters>19814</Characters>
  <Application>Microsoft Office Word</Application>
  <DocSecurity>0</DocSecurity>
  <PresentationFormat>14|.DOCX</PresentationFormat>
  <Lines>165</Lines>
  <Paragraphs>46</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2023-04-04T13:54:00Z</cp:lastPrinted>
  <dcterms:created xsi:type="dcterms:W3CDTF">2025-12-30T16:48:00Z</dcterms:created>
  <dcterms:modified xsi:type="dcterms:W3CDTF">2026-01-09T17:56:00Z</dcterms:modified>
</cp:coreProperties>
</file>