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00EE45E9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927A11">
        <w:rPr>
          <w:rFonts w:ascii="Arial" w:hAnsi="Arial" w:cs="Arial"/>
        </w:rPr>
        <w:t>052</w:t>
      </w:r>
      <w:r w:rsidRPr="00E03D8D">
        <w:rPr>
          <w:rFonts w:ascii="Arial" w:hAnsi="Arial" w:cs="Arial"/>
        </w:rPr>
        <w:t xml:space="preserve"> |</w:t>
      </w:r>
      <w:r w:rsidR="00927A11">
        <w:rPr>
          <w:rFonts w:ascii="Arial" w:hAnsi="Arial" w:cs="Arial"/>
        </w:rPr>
        <w:t xml:space="preserve"> </w:t>
      </w:r>
      <w:r w:rsidR="006473DE">
        <w:rPr>
          <w:rFonts w:ascii="Arial" w:hAnsi="Arial" w:cs="Arial"/>
        </w:rPr>
        <w:t>06/</w:t>
      </w:r>
      <w:r w:rsidR="00632EB8">
        <w:rPr>
          <w:rFonts w:ascii="Arial" w:hAnsi="Arial" w:cs="Arial"/>
        </w:rPr>
        <w:t>10</w:t>
      </w:r>
      <w:r w:rsidR="002578AF">
        <w:rPr>
          <w:rFonts w:ascii="Arial" w:hAnsi="Arial" w:cs="Arial"/>
        </w:rPr>
        <w:t>/2026</w:t>
      </w:r>
      <w:r w:rsidR="00927A11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33656C" w:rsidRPr="0033656C">
        <w:rPr>
          <w:rFonts w:ascii="Arial" w:hAnsi="Arial" w:cs="Arial"/>
        </w:rPr>
        <w:t>Owne</w:t>
      </w:r>
      <w:r w:rsidR="001026EA">
        <w:rPr>
          <w:rFonts w:ascii="Arial" w:hAnsi="Arial" w:cs="Arial"/>
        </w:rPr>
        <w:t xml:space="preserve">r: </w:t>
      </w:r>
      <w:r w:rsidR="002578AF">
        <w:rPr>
          <w:rFonts w:ascii="Arial" w:hAnsi="Arial" w:cs="Arial"/>
        </w:rPr>
        <w:t>Huron; H. Phillips</w:t>
      </w:r>
      <w:r w:rsidR="001026EA">
        <w:rPr>
          <w:rFonts w:ascii="Arial" w:hAnsi="Arial" w:cs="Arial"/>
        </w:rPr>
        <w:t xml:space="preserve"> | Approver: </w:t>
      </w:r>
      <w:r w:rsidR="002578AF">
        <w:rPr>
          <w:rFonts w:ascii="Arial" w:hAnsi="Arial" w:cs="Arial"/>
        </w:rPr>
        <w:t>D. Durbin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3DD431D5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927A11">
        <w:rPr>
          <w:szCs w:val="32"/>
        </w:rPr>
        <w:t>Post-Review</w:t>
      </w:r>
    </w:p>
    <w:p w14:paraId="55F8BD4C" w14:textId="77777777" w:rsidR="00326316" w:rsidRPr="008F2DDA" w:rsidRDefault="00326316" w:rsidP="00326316">
      <w:pPr>
        <w:pStyle w:val="DocumentTitle-HCG"/>
        <w:rPr>
          <w:sz w:val="22"/>
          <w:szCs w:val="24"/>
        </w:rPr>
      </w:pPr>
    </w:p>
    <w:p w14:paraId="5EF988B5" w14:textId="75EADA50" w:rsidR="00326316" w:rsidRPr="0053738C" w:rsidRDefault="00326316" w:rsidP="008865E3">
      <w:pPr>
        <w:pStyle w:val="SOPLevel1"/>
        <w:spacing w:line="276" w:lineRule="auto"/>
        <w:rPr>
          <w:rFonts w:cs="Arial"/>
          <w:sz w:val="22"/>
          <w:szCs w:val="22"/>
        </w:rPr>
      </w:pPr>
      <w:bookmarkStart w:id="0" w:name="_Hlk106790238"/>
      <w:r w:rsidRPr="0053738C">
        <w:rPr>
          <w:rFonts w:cs="Arial"/>
          <w:sz w:val="22"/>
          <w:szCs w:val="22"/>
        </w:rPr>
        <w:t>PURPOSE</w:t>
      </w:r>
    </w:p>
    <w:p w14:paraId="1E3F6187" w14:textId="446E95BE" w:rsidR="00927A11" w:rsidRPr="0053738C" w:rsidRDefault="00927A11" w:rsidP="008865E3">
      <w:pPr>
        <w:pStyle w:val="SOPLevel2"/>
        <w:spacing w:line="276" w:lineRule="auto"/>
        <w:rPr>
          <w:rFonts w:cs="Arial"/>
          <w:sz w:val="22"/>
          <w:szCs w:val="22"/>
        </w:rPr>
      </w:pPr>
      <w:r w:rsidRPr="0053738C">
        <w:rPr>
          <w:rFonts w:cs="Arial"/>
          <w:sz w:val="22"/>
          <w:szCs w:val="22"/>
        </w:rPr>
        <w:t>This procedure establishes the process for communications after a protocol is reviewed.</w:t>
      </w:r>
    </w:p>
    <w:p w14:paraId="008D27C7" w14:textId="47CDD6B7" w:rsidR="00927A11" w:rsidRPr="0053738C" w:rsidRDefault="00927A11" w:rsidP="008865E3">
      <w:pPr>
        <w:pStyle w:val="SOPLevel2"/>
        <w:spacing w:line="276" w:lineRule="auto"/>
        <w:rPr>
          <w:rFonts w:cs="Arial"/>
          <w:sz w:val="22"/>
          <w:szCs w:val="22"/>
        </w:rPr>
      </w:pPr>
      <w:r w:rsidRPr="0053738C">
        <w:rPr>
          <w:rFonts w:cs="Arial"/>
          <w:sz w:val="22"/>
          <w:szCs w:val="22"/>
        </w:rPr>
        <w:t>The process begins when:</w:t>
      </w:r>
    </w:p>
    <w:p w14:paraId="423BA574" w14:textId="23D4557D" w:rsidR="00927A11" w:rsidRPr="0053738C" w:rsidRDefault="00927A11" w:rsidP="00821048">
      <w:pPr>
        <w:pStyle w:val="SOPLevel3"/>
        <w:tabs>
          <w:tab w:val="clear" w:pos="2142"/>
          <w:tab w:val="num" w:pos="1710"/>
        </w:tabs>
        <w:spacing w:line="276" w:lineRule="auto"/>
        <w:ind w:left="1710" w:hanging="810"/>
        <w:rPr>
          <w:rFonts w:cs="Arial"/>
          <w:sz w:val="22"/>
          <w:szCs w:val="22"/>
        </w:rPr>
      </w:pPr>
      <w:r w:rsidRPr="0053738C">
        <w:rPr>
          <w:rFonts w:cs="Arial"/>
          <w:sz w:val="22"/>
          <w:szCs w:val="22"/>
        </w:rPr>
        <w:t xml:space="preserve">A </w:t>
      </w:r>
      <w:r w:rsidRPr="0053738C">
        <w:rPr>
          <w:rFonts w:cs="Arial"/>
          <w:sz w:val="22"/>
          <w:szCs w:val="22"/>
          <w:u w:val="double"/>
        </w:rPr>
        <w:t>Designated Reviewer</w:t>
      </w:r>
      <w:r w:rsidRPr="0053738C">
        <w:rPr>
          <w:rFonts w:cs="Arial"/>
          <w:sz w:val="22"/>
          <w:szCs w:val="22"/>
        </w:rPr>
        <w:t xml:space="preserve"> has completed a </w:t>
      </w:r>
      <w:r w:rsidRPr="0053738C">
        <w:rPr>
          <w:rFonts w:cs="Arial"/>
          <w:sz w:val="22"/>
          <w:szCs w:val="22"/>
          <w:u w:val="double"/>
        </w:rPr>
        <w:t xml:space="preserve">Non-Committee </w:t>
      </w:r>
      <w:r w:rsidR="008F2DDA" w:rsidRPr="0053738C">
        <w:rPr>
          <w:rFonts w:cs="Arial"/>
          <w:sz w:val="22"/>
          <w:szCs w:val="22"/>
          <w:u w:val="double"/>
        </w:rPr>
        <w:t>Review</w:t>
      </w:r>
      <w:r w:rsidR="008F2DDA">
        <w:rPr>
          <w:rFonts w:cs="Arial"/>
          <w:sz w:val="22"/>
          <w:szCs w:val="22"/>
        </w:rPr>
        <w:t>;</w:t>
      </w:r>
      <w:r w:rsidR="008F2DDA" w:rsidRPr="0053738C">
        <w:rPr>
          <w:rFonts w:cs="Arial"/>
          <w:sz w:val="22"/>
          <w:szCs w:val="22"/>
        </w:rPr>
        <w:t xml:space="preserve"> OR</w:t>
      </w:r>
    </w:p>
    <w:p w14:paraId="05473AC6" w14:textId="3C32A1F9" w:rsidR="00927A11" w:rsidRPr="0053738C" w:rsidRDefault="00927A11" w:rsidP="00821048">
      <w:pPr>
        <w:pStyle w:val="SOPLevel3"/>
        <w:tabs>
          <w:tab w:val="clear" w:pos="2142"/>
          <w:tab w:val="num" w:pos="1710"/>
        </w:tabs>
        <w:spacing w:line="276" w:lineRule="auto"/>
        <w:ind w:left="1710" w:hanging="810"/>
        <w:rPr>
          <w:rFonts w:cs="Arial"/>
          <w:sz w:val="22"/>
          <w:szCs w:val="22"/>
        </w:rPr>
      </w:pPr>
      <w:r w:rsidRPr="0053738C">
        <w:rPr>
          <w:rFonts w:cs="Arial"/>
          <w:sz w:val="22"/>
          <w:szCs w:val="22"/>
        </w:rPr>
        <w:t xml:space="preserve">An IRB meeting </w:t>
      </w:r>
      <w:proofErr w:type="spellStart"/>
      <w:r w:rsidRPr="0053738C">
        <w:rPr>
          <w:rFonts w:cs="Arial"/>
          <w:sz w:val="22"/>
          <w:szCs w:val="22"/>
        </w:rPr>
        <w:t>has</w:t>
      </w:r>
      <w:proofErr w:type="spellEnd"/>
      <w:r w:rsidRPr="0053738C">
        <w:rPr>
          <w:rFonts w:cs="Arial"/>
          <w:sz w:val="22"/>
          <w:szCs w:val="22"/>
        </w:rPr>
        <w:t xml:space="preserve"> adjourned</w:t>
      </w:r>
      <w:r w:rsidR="0086579F">
        <w:rPr>
          <w:rFonts w:cs="Arial"/>
          <w:sz w:val="22"/>
          <w:szCs w:val="22"/>
        </w:rPr>
        <w:t xml:space="preserve">; </w:t>
      </w:r>
      <w:r w:rsidRPr="0053738C">
        <w:rPr>
          <w:rFonts w:cs="Arial"/>
          <w:sz w:val="22"/>
          <w:szCs w:val="22"/>
        </w:rPr>
        <w:t>OR</w:t>
      </w:r>
    </w:p>
    <w:p w14:paraId="33107CE8" w14:textId="77777777" w:rsidR="00927A11" w:rsidRPr="0053738C" w:rsidRDefault="00927A11" w:rsidP="00821048">
      <w:pPr>
        <w:pStyle w:val="SOPLevel3"/>
        <w:tabs>
          <w:tab w:val="clear" w:pos="2142"/>
          <w:tab w:val="num" w:pos="1710"/>
        </w:tabs>
        <w:spacing w:line="276" w:lineRule="auto"/>
        <w:ind w:left="1710" w:hanging="810"/>
        <w:rPr>
          <w:rFonts w:cs="Arial"/>
          <w:sz w:val="22"/>
          <w:szCs w:val="22"/>
        </w:rPr>
      </w:pPr>
      <w:r w:rsidRPr="0053738C">
        <w:rPr>
          <w:rFonts w:cs="Arial"/>
          <w:sz w:val="22"/>
          <w:szCs w:val="22"/>
        </w:rPr>
        <w:t>An IRB staff member has verified that modifications required to secure approval have been made.</w:t>
      </w:r>
    </w:p>
    <w:p w14:paraId="6BA2EC2D" w14:textId="78A0274C" w:rsidR="0034262A" w:rsidRPr="0053738C" w:rsidRDefault="00927A11" w:rsidP="008865E3">
      <w:pPr>
        <w:pStyle w:val="SOPLevel2"/>
        <w:spacing w:line="276" w:lineRule="auto"/>
        <w:rPr>
          <w:rFonts w:cs="Arial"/>
          <w:sz w:val="22"/>
          <w:szCs w:val="22"/>
        </w:rPr>
      </w:pPr>
      <w:r w:rsidRPr="0053738C">
        <w:rPr>
          <w:rFonts w:cs="Arial"/>
          <w:sz w:val="22"/>
          <w:szCs w:val="22"/>
        </w:rPr>
        <w:t>The process ends when all correspondence related to IRB determinations and actions have been sent and additional tasks have been completed.</w:t>
      </w:r>
    </w:p>
    <w:p w14:paraId="2F59A332" w14:textId="77777777" w:rsidR="00326316" w:rsidRPr="0053738C" w:rsidRDefault="00326316" w:rsidP="008865E3">
      <w:pPr>
        <w:pStyle w:val="SOPLevel1"/>
        <w:spacing w:line="276" w:lineRule="auto"/>
        <w:rPr>
          <w:rFonts w:cs="Arial"/>
          <w:sz w:val="22"/>
          <w:szCs w:val="22"/>
        </w:rPr>
      </w:pPr>
      <w:r w:rsidRPr="0053738C">
        <w:rPr>
          <w:rFonts w:cs="Arial"/>
          <w:sz w:val="22"/>
          <w:szCs w:val="22"/>
        </w:rPr>
        <w:t>REVISIONS FROM PREVIOUS VERSION</w:t>
      </w:r>
    </w:p>
    <w:p w14:paraId="1CD68A5C" w14:textId="7D7C9B3B" w:rsidR="00326316" w:rsidRDefault="00DE7255" w:rsidP="008865E3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Section 3- Policy: Revise language to align with NCH HRPP/IRB procedures and partnership with Office of Research Compliance and Integrity (ORCI). </w:t>
      </w:r>
    </w:p>
    <w:p w14:paraId="2CDC6EB7" w14:textId="4DF89763" w:rsidR="00DE7255" w:rsidRPr="0053738C" w:rsidRDefault="00DE7255" w:rsidP="008865E3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Section 5- Procedure: Minor edits to align with NCH HRPP/IRB procedures. </w:t>
      </w:r>
    </w:p>
    <w:p w14:paraId="638FEC70" w14:textId="35CD8A3A" w:rsidR="00326316" w:rsidRPr="0053738C" w:rsidRDefault="00326316" w:rsidP="008865E3">
      <w:pPr>
        <w:pStyle w:val="SOPLevel1"/>
        <w:spacing w:line="276" w:lineRule="auto"/>
        <w:rPr>
          <w:rFonts w:cs="Arial"/>
          <w:sz w:val="22"/>
          <w:szCs w:val="22"/>
        </w:rPr>
      </w:pPr>
      <w:r w:rsidRPr="0053738C">
        <w:rPr>
          <w:rFonts w:cs="Arial"/>
          <w:sz w:val="22"/>
          <w:szCs w:val="22"/>
        </w:rPr>
        <w:t>POLICY</w:t>
      </w:r>
    </w:p>
    <w:p w14:paraId="56EF8608" w14:textId="77777777" w:rsidR="003A7082" w:rsidRPr="002348DF" w:rsidRDefault="003A7082" w:rsidP="00DE7255">
      <w:pPr>
        <w:pStyle w:val="SOPLevel2"/>
        <w:spacing w:line="276" w:lineRule="auto"/>
        <w:rPr>
          <w:rFonts w:cs="Arial"/>
          <w:sz w:val="22"/>
          <w:szCs w:val="22"/>
        </w:rPr>
      </w:pPr>
      <w:r w:rsidRPr="002348DF">
        <w:rPr>
          <w:rFonts w:cs="Arial"/>
          <w:sz w:val="22"/>
          <w:szCs w:val="22"/>
        </w:rPr>
        <w:t xml:space="preserve">Communication of review results to investigators is to be completed within </w:t>
      </w:r>
      <w:r w:rsidRPr="002348DF">
        <w:rPr>
          <w:sz w:val="22"/>
          <w:szCs w:val="22"/>
        </w:rPr>
        <w:t xml:space="preserve">10 </w:t>
      </w:r>
      <w:r w:rsidRPr="002348DF">
        <w:rPr>
          <w:rFonts w:cs="Arial"/>
          <w:sz w:val="22"/>
          <w:szCs w:val="22"/>
        </w:rPr>
        <w:t xml:space="preserve">business days of the IRB meeting or receipt of the completed </w:t>
      </w:r>
      <w:r w:rsidRPr="002348DF">
        <w:rPr>
          <w:rFonts w:cs="Arial"/>
          <w:sz w:val="22"/>
          <w:szCs w:val="22"/>
          <w:u w:val="double"/>
        </w:rPr>
        <w:t>Non-Committee Review</w:t>
      </w:r>
      <w:r w:rsidRPr="002348DF">
        <w:rPr>
          <w:rFonts w:cs="Arial"/>
          <w:sz w:val="22"/>
          <w:szCs w:val="22"/>
        </w:rPr>
        <w:t xml:space="preserve"> materials.</w:t>
      </w:r>
    </w:p>
    <w:p w14:paraId="0AE41EE4" w14:textId="4B0D4EA0" w:rsidR="00927A11" w:rsidRPr="002348DF" w:rsidRDefault="00927A11" w:rsidP="00DE7255">
      <w:pPr>
        <w:pStyle w:val="SOPLevel2"/>
        <w:spacing w:line="276" w:lineRule="auto"/>
        <w:rPr>
          <w:rFonts w:cs="Arial"/>
          <w:sz w:val="22"/>
          <w:szCs w:val="22"/>
        </w:rPr>
      </w:pPr>
      <w:r w:rsidRPr="002348DF">
        <w:rPr>
          <w:rFonts w:cs="Arial"/>
          <w:sz w:val="22"/>
          <w:szCs w:val="22"/>
        </w:rPr>
        <w:t>When the IRB disapproves research, it provides the investigator with a statement of the reasons for the decision and gives the investigator an opportunity to respond in person or in writing.</w:t>
      </w:r>
    </w:p>
    <w:p w14:paraId="4788850F" w14:textId="77777777" w:rsidR="000B2C75" w:rsidRPr="002348DF" w:rsidRDefault="000B2C75" w:rsidP="00DE7255">
      <w:pPr>
        <w:pStyle w:val="SOPLevel2"/>
        <w:spacing w:line="276" w:lineRule="auto"/>
        <w:ind w:left="900" w:hanging="540"/>
        <w:rPr>
          <w:rFonts w:cs="Arial"/>
          <w:sz w:val="22"/>
          <w:szCs w:val="22"/>
        </w:rPr>
      </w:pPr>
      <w:r w:rsidRPr="002348DF">
        <w:rPr>
          <w:rFonts w:cs="Arial"/>
          <w:sz w:val="22"/>
          <w:szCs w:val="22"/>
        </w:rPr>
        <w:t xml:space="preserve">When a modification is reviewed to lift a suspension for a previous </w:t>
      </w:r>
      <w:r w:rsidRPr="002348DF">
        <w:rPr>
          <w:rFonts w:cs="Arial"/>
          <w:sz w:val="22"/>
          <w:szCs w:val="22"/>
          <w:u w:val="double"/>
        </w:rPr>
        <w:t>Suspension of IRB Approval</w:t>
      </w:r>
      <w:r w:rsidRPr="002348DF">
        <w:rPr>
          <w:rFonts w:cs="Arial"/>
          <w:sz w:val="22"/>
          <w:szCs w:val="22"/>
        </w:rPr>
        <w:t>, the state of the study will change from “Suspended” to “Approved” when the modification is approved.</w:t>
      </w:r>
    </w:p>
    <w:p w14:paraId="529FF30C" w14:textId="33F2C281" w:rsidR="003A7082" w:rsidRPr="002348DF" w:rsidRDefault="00F20B70" w:rsidP="00DE7255">
      <w:pPr>
        <w:pStyle w:val="SOPLevel2"/>
        <w:spacing w:line="276" w:lineRule="auto"/>
        <w:rPr>
          <w:rFonts w:cs="Arial"/>
          <w:sz w:val="22"/>
          <w:szCs w:val="22"/>
        </w:rPr>
      </w:pPr>
      <w:r w:rsidRPr="002348DF">
        <w:rPr>
          <w:rFonts w:cs="Arial"/>
          <w:sz w:val="22"/>
          <w:szCs w:val="22"/>
        </w:rPr>
        <w:t xml:space="preserve">After Office of </w:t>
      </w:r>
      <w:r w:rsidR="00C53161" w:rsidRPr="002348DF">
        <w:rPr>
          <w:rFonts w:cs="Arial"/>
          <w:sz w:val="22"/>
          <w:szCs w:val="22"/>
        </w:rPr>
        <w:t xml:space="preserve">Research </w:t>
      </w:r>
      <w:r w:rsidRPr="002348DF">
        <w:rPr>
          <w:rFonts w:cs="Arial"/>
          <w:sz w:val="22"/>
          <w:szCs w:val="22"/>
        </w:rPr>
        <w:t xml:space="preserve">Compliance and </w:t>
      </w:r>
      <w:r w:rsidR="00C53161" w:rsidRPr="002348DF">
        <w:rPr>
          <w:rFonts w:cs="Arial"/>
          <w:sz w:val="22"/>
          <w:szCs w:val="22"/>
        </w:rPr>
        <w:t>Integrity (ORCI) completes their investigation, t</w:t>
      </w:r>
      <w:r w:rsidR="003A7082" w:rsidRPr="002348DF">
        <w:rPr>
          <w:rFonts w:cs="Arial"/>
          <w:sz w:val="22"/>
          <w:szCs w:val="22"/>
        </w:rPr>
        <w:t xml:space="preserve">he IRB </w:t>
      </w:r>
      <w:r w:rsidR="009F147D" w:rsidRPr="002348DF">
        <w:rPr>
          <w:rFonts w:cs="Arial"/>
          <w:sz w:val="22"/>
          <w:szCs w:val="22"/>
        </w:rPr>
        <w:t>leadership</w:t>
      </w:r>
      <w:r w:rsidR="00C53161" w:rsidRPr="002348DF">
        <w:rPr>
          <w:rFonts w:cs="Arial"/>
          <w:sz w:val="22"/>
          <w:szCs w:val="22"/>
        </w:rPr>
        <w:t xml:space="preserve"> will</w:t>
      </w:r>
      <w:r w:rsidR="009F147D" w:rsidRPr="002348DF">
        <w:rPr>
          <w:rFonts w:cs="Arial"/>
          <w:sz w:val="22"/>
          <w:szCs w:val="22"/>
        </w:rPr>
        <w:t xml:space="preserve"> </w:t>
      </w:r>
      <w:r w:rsidR="003A7082" w:rsidRPr="002348DF">
        <w:rPr>
          <w:rFonts w:cs="Arial"/>
          <w:sz w:val="22"/>
          <w:szCs w:val="22"/>
        </w:rPr>
        <w:t>receive</w:t>
      </w:r>
      <w:r w:rsidR="00142804" w:rsidRPr="002348DF">
        <w:rPr>
          <w:rFonts w:cs="Arial"/>
          <w:sz w:val="22"/>
          <w:szCs w:val="22"/>
        </w:rPr>
        <w:t xml:space="preserve"> the</w:t>
      </w:r>
      <w:r w:rsidR="00C53161" w:rsidRPr="002348DF">
        <w:rPr>
          <w:rFonts w:cs="Arial"/>
          <w:sz w:val="22"/>
          <w:szCs w:val="22"/>
        </w:rPr>
        <w:t xml:space="preserve"> </w:t>
      </w:r>
      <w:r w:rsidR="00142804" w:rsidRPr="002348DF">
        <w:rPr>
          <w:rFonts w:cs="Arial"/>
          <w:sz w:val="22"/>
          <w:szCs w:val="22"/>
        </w:rPr>
        <w:t>findings</w:t>
      </w:r>
      <w:r w:rsidR="003A7082" w:rsidRPr="002348DF">
        <w:rPr>
          <w:rFonts w:cs="Arial"/>
          <w:sz w:val="22"/>
          <w:szCs w:val="22"/>
        </w:rPr>
        <w:t xml:space="preserve"> </w:t>
      </w:r>
      <w:r w:rsidR="001F5404" w:rsidRPr="002348DF">
        <w:rPr>
          <w:rFonts w:cs="Arial"/>
          <w:sz w:val="22"/>
          <w:szCs w:val="22"/>
        </w:rPr>
        <w:t>report from</w:t>
      </w:r>
      <w:r w:rsidR="00C53161" w:rsidRPr="002348DF">
        <w:rPr>
          <w:rFonts w:cs="Arial"/>
          <w:sz w:val="22"/>
          <w:szCs w:val="22"/>
        </w:rPr>
        <w:t xml:space="preserve"> the</w:t>
      </w:r>
      <w:r w:rsidR="001F5404" w:rsidRPr="002348DF">
        <w:rPr>
          <w:rFonts w:cs="Arial"/>
          <w:sz w:val="22"/>
          <w:szCs w:val="22"/>
        </w:rPr>
        <w:t xml:space="preserve"> ORCI/HRPP </w:t>
      </w:r>
      <w:proofErr w:type="gramStart"/>
      <w:r w:rsidR="001F5404" w:rsidRPr="002348DF">
        <w:rPr>
          <w:rFonts w:cs="Arial"/>
          <w:sz w:val="22"/>
          <w:szCs w:val="22"/>
        </w:rPr>
        <w:t>designee</w:t>
      </w:r>
      <w:proofErr w:type="gramEnd"/>
      <w:r w:rsidR="00003671" w:rsidRPr="002348DF">
        <w:rPr>
          <w:rFonts w:cs="Arial"/>
          <w:sz w:val="22"/>
          <w:szCs w:val="22"/>
        </w:rPr>
        <w:t xml:space="preserve"> </w:t>
      </w:r>
      <w:r w:rsidR="00E679BA" w:rsidRPr="002348DF">
        <w:rPr>
          <w:rFonts w:cs="Arial"/>
          <w:sz w:val="22"/>
          <w:szCs w:val="22"/>
        </w:rPr>
        <w:t xml:space="preserve">and will </w:t>
      </w:r>
      <w:r w:rsidR="00F700C0" w:rsidRPr="002348DF">
        <w:rPr>
          <w:rFonts w:cs="Arial"/>
          <w:sz w:val="22"/>
          <w:szCs w:val="22"/>
        </w:rPr>
        <w:t>review</w:t>
      </w:r>
      <w:r w:rsidR="00142804" w:rsidRPr="002348DF">
        <w:rPr>
          <w:rFonts w:cs="Arial"/>
          <w:sz w:val="22"/>
          <w:szCs w:val="22"/>
        </w:rPr>
        <w:t xml:space="preserve"> together</w:t>
      </w:r>
      <w:r w:rsidR="00F700C0" w:rsidRPr="002348DF">
        <w:rPr>
          <w:rFonts w:cs="Arial"/>
          <w:sz w:val="22"/>
          <w:szCs w:val="22"/>
        </w:rPr>
        <w:t xml:space="preserve"> </w:t>
      </w:r>
      <w:r w:rsidR="008F2B49" w:rsidRPr="002348DF">
        <w:rPr>
          <w:rFonts w:cs="Arial"/>
          <w:sz w:val="22"/>
          <w:szCs w:val="22"/>
        </w:rPr>
        <w:t>(</w:t>
      </w:r>
      <w:r w:rsidR="00142804" w:rsidRPr="002348DF">
        <w:rPr>
          <w:rFonts w:cs="Arial"/>
          <w:sz w:val="22"/>
          <w:szCs w:val="22"/>
        </w:rPr>
        <w:t xml:space="preserve">and/or with the </w:t>
      </w:r>
      <w:r w:rsidR="008F2B49" w:rsidRPr="002348DF">
        <w:rPr>
          <w:rFonts w:cs="Arial"/>
          <w:sz w:val="22"/>
          <w:szCs w:val="22"/>
        </w:rPr>
        <w:t xml:space="preserve">IRB convened board </w:t>
      </w:r>
      <w:proofErr w:type="gramStart"/>
      <w:r w:rsidR="008F2B49" w:rsidRPr="002348DF">
        <w:rPr>
          <w:rFonts w:cs="Arial"/>
          <w:sz w:val="22"/>
          <w:szCs w:val="22"/>
        </w:rPr>
        <w:t>review )</w:t>
      </w:r>
      <w:proofErr w:type="gramEnd"/>
      <w:r w:rsidR="008F2B49" w:rsidRPr="002348DF">
        <w:rPr>
          <w:rFonts w:cs="Arial"/>
          <w:sz w:val="22"/>
          <w:szCs w:val="22"/>
        </w:rPr>
        <w:t xml:space="preserve"> to </w:t>
      </w:r>
      <w:r w:rsidR="00E679BA" w:rsidRPr="002348DF">
        <w:rPr>
          <w:rFonts w:cs="Arial"/>
          <w:sz w:val="22"/>
          <w:szCs w:val="22"/>
        </w:rPr>
        <w:t>determine the action(s) and determinations</w:t>
      </w:r>
      <w:r w:rsidR="008F2B49" w:rsidRPr="002348DF">
        <w:rPr>
          <w:rFonts w:cs="Arial"/>
          <w:sz w:val="22"/>
          <w:szCs w:val="22"/>
        </w:rPr>
        <w:t>.</w:t>
      </w:r>
      <w:r w:rsidR="00C13C28" w:rsidRPr="002348DF">
        <w:rPr>
          <w:rFonts w:cs="Arial"/>
          <w:sz w:val="22"/>
          <w:szCs w:val="22"/>
        </w:rPr>
        <w:t xml:space="preserve"> </w:t>
      </w:r>
    </w:p>
    <w:p w14:paraId="4B825CEB" w14:textId="369E4FBA" w:rsidR="00927A11" w:rsidRPr="002348DF" w:rsidRDefault="00927A11" w:rsidP="006C0049">
      <w:pPr>
        <w:pStyle w:val="SOPLevel2"/>
        <w:spacing w:line="276" w:lineRule="auto"/>
        <w:rPr>
          <w:rFonts w:cs="Arial"/>
          <w:sz w:val="22"/>
          <w:szCs w:val="22"/>
        </w:rPr>
      </w:pPr>
      <w:r w:rsidRPr="002348DF">
        <w:rPr>
          <w:rFonts w:cs="Arial"/>
          <w:sz w:val="22"/>
          <w:szCs w:val="22"/>
        </w:rPr>
        <w:t xml:space="preserve">Reporting of </w:t>
      </w:r>
      <w:r w:rsidRPr="002348DF">
        <w:rPr>
          <w:rFonts w:cs="Arial"/>
          <w:sz w:val="22"/>
          <w:szCs w:val="22"/>
          <w:u w:val="double"/>
        </w:rPr>
        <w:t>Serious Non-Compliance</w:t>
      </w:r>
      <w:r w:rsidRPr="002348DF">
        <w:rPr>
          <w:rFonts w:cs="Arial"/>
          <w:sz w:val="22"/>
          <w:szCs w:val="22"/>
        </w:rPr>
        <w:t xml:space="preserve">; </w:t>
      </w:r>
      <w:r w:rsidRPr="002348DF">
        <w:rPr>
          <w:rFonts w:cs="Arial"/>
          <w:sz w:val="22"/>
          <w:szCs w:val="22"/>
          <w:u w:val="double"/>
        </w:rPr>
        <w:t>Continuing Non-Compliance</w:t>
      </w:r>
      <w:r w:rsidRPr="002348DF">
        <w:rPr>
          <w:rFonts w:cs="Arial"/>
          <w:sz w:val="22"/>
          <w:szCs w:val="22"/>
        </w:rPr>
        <w:t xml:space="preserve">; </w:t>
      </w:r>
      <w:r w:rsidRPr="002348DF">
        <w:rPr>
          <w:rFonts w:cs="Arial"/>
          <w:sz w:val="22"/>
          <w:szCs w:val="22"/>
          <w:u w:val="double"/>
        </w:rPr>
        <w:t>Suspension of IRB Approval</w:t>
      </w:r>
      <w:r w:rsidRPr="002348DF">
        <w:rPr>
          <w:rFonts w:cs="Arial"/>
          <w:sz w:val="22"/>
          <w:szCs w:val="22"/>
        </w:rPr>
        <w:t xml:space="preserve">; </w:t>
      </w:r>
      <w:r w:rsidRPr="002348DF">
        <w:rPr>
          <w:rFonts w:cs="Arial"/>
          <w:sz w:val="22"/>
          <w:szCs w:val="22"/>
          <w:u w:val="double"/>
        </w:rPr>
        <w:t>Termination of IRB Approval</w:t>
      </w:r>
      <w:r w:rsidRPr="002348DF">
        <w:rPr>
          <w:rFonts w:cs="Arial"/>
          <w:sz w:val="22"/>
          <w:szCs w:val="22"/>
        </w:rPr>
        <w:t xml:space="preserve">; and </w:t>
      </w:r>
      <w:r w:rsidRPr="002348DF">
        <w:rPr>
          <w:rFonts w:cs="Arial"/>
          <w:sz w:val="22"/>
          <w:szCs w:val="22"/>
          <w:u w:val="double"/>
        </w:rPr>
        <w:t>Unanticipated Problem Involving Risks to Subjects or Others</w:t>
      </w:r>
      <w:r w:rsidRPr="002348DF">
        <w:rPr>
          <w:rFonts w:cs="Arial"/>
          <w:sz w:val="22"/>
          <w:szCs w:val="22"/>
        </w:rPr>
        <w:t xml:space="preserve"> to outside agencies is to take place within 30 business days from the determination of a reportable problem.</w:t>
      </w:r>
    </w:p>
    <w:p w14:paraId="2B995CF2" w14:textId="77777777" w:rsidR="00F60FD6" w:rsidRPr="002348DF" w:rsidRDefault="00F60FD6" w:rsidP="006C0049">
      <w:pPr>
        <w:pStyle w:val="SOPLevel3"/>
        <w:tabs>
          <w:tab w:val="clear" w:pos="2142"/>
          <w:tab w:val="num" w:pos="1710"/>
        </w:tabs>
        <w:spacing w:line="276" w:lineRule="auto"/>
        <w:ind w:left="1710" w:hanging="810"/>
        <w:rPr>
          <w:sz w:val="22"/>
          <w:szCs w:val="22"/>
        </w:rPr>
      </w:pPr>
      <w:r w:rsidRPr="002348DF">
        <w:rPr>
          <w:sz w:val="22"/>
          <w:szCs w:val="22"/>
        </w:rPr>
        <w:t xml:space="preserve">Reporting to OHRP only occurs for non-exempt </w:t>
      </w:r>
      <w:r w:rsidRPr="002348DF">
        <w:rPr>
          <w:sz w:val="22"/>
          <w:szCs w:val="22"/>
          <w:u w:val="double"/>
        </w:rPr>
        <w:t>Human Research</w:t>
      </w:r>
      <w:r w:rsidRPr="002348DF">
        <w:rPr>
          <w:sz w:val="22"/>
          <w:szCs w:val="22"/>
        </w:rPr>
        <w:t xml:space="preserve"> that:</w:t>
      </w:r>
    </w:p>
    <w:p w14:paraId="43829B38" w14:textId="0727E222" w:rsidR="007A2C05" w:rsidRPr="002348DF" w:rsidRDefault="00F60FD6" w:rsidP="006C0049">
      <w:pPr>
        <w:pStyle w:val="SOPLevel4"/>
        <w:spacing w:line="276" w:lineRule="auto"/>
        <w:ind w:left="2700" w:hanging="972"/>
        <w:rPr>
          <w:sz w:val="22"/>
          <w:szCs w:val="22"/>
        </w:rPr>
      </w:pPr>
      <w:r w:rsidRPr="002348DF">
        <w:rPr>
          <w:sz w:val="22"/>
          <w:szCs w:val="22"/>
        </w:rPr>
        <w:t xml:space="preserve">Is HHS-supported or </w:t>
      </w:r>
      <w:proofErr w:type="gramStart"/>
      <w:r w:rsidRPr="002348DF">
        <w:rPr>
          <w:sz w:val="22"/>
          <w:szCs w:val="22"/>
        </w:rPr>
        <w:t>conducted;</w:t>
      </w:r>
      <w:proofErr w:type="gramEnd"/>
    </w:p>
    <w:p w14:paraId="31268C05" w14:textId="21E658BE" w:rsidR="00F60FD6" w:rsidRPr="002348DF" w:rsidRDefault="00F60FD6" w:rsidP="007A2C05">
      <w:pPr>
        <w:pStyle w:val="SOPLevel4"/>
        <w:spacing w:line="276" w:lineRule="auto"/>
        <w:ind w:left="2700" w:hanging="972"/>
        <w:rPr>
          <w:sz w:val="22"/>
          <w:szCs w:val="22"/>
        </w:rPr>
      </w:pPr>
      <w:proofErr w:type="gramStart"/>
      <w:r w:rsidRPr="002348DF">
        <w:rPr>
          <w:sz w:val="22"/>
          <w:szCs w:val="22"/>
        </w:rPr>
        <w:t>Is</w:t>
      </w:r>
      <w:proofErr w:type="gramEnd"/>
      <w:r w:rsidRPr="002348DF">
        <w:rPr>
          <w:sz w:val="22"/>
          <w:szCs w:val="22"/>
        </w:rPr>
        <w:t xml:space="preserve"> conducted or supported by a Federal Agency that has adopted the Common Rule and has not approved a separate assurance, other than the FWA, for the research</w:t>
      </w:r>
      <w:r w:rsidR="00A31623" w:rsidRPr="002348DF">
        <w:rPr>
          <w:sz w:val="22"/>
          <w:szCs w:val="22"/>
        </w:rPr>
        <w:t>.</w:t>
      </w:r>
    </w:p>
    <w:p w14:paraId="2ED65DAE" w14:textId="77777777" w:rsidR="00F60FD6" w:rsidRPr="002348DF" w:rsidRDefault="00F60FD6" w:rsidP="006C0049">
      <w:pPr>
        <w:pStyle w:val="SOPLevel3"/>
        <w:tabs>
          <w:tab w:val="clear" w:pos="2142"/>
          <w:tab w:val="num" w:pos="1710"/>
        </w:tabs>
        <w:spacing w:line="276" w:lineRule="auto"/>
        <w:ind w:left="1710" w:hanging="810"/>
        <w:rPr>
          <w:sz w:val="22"/>
          <w:szCs w:val="22"/>
        </w:rPr>
      </w:pPr>
      <w:r w:rsidRPr="002348DF">
        <w:rPr>
          <w:sz w:val="22"/>
          <w:szCs w:val="22"/>
        </w:rPr>
        <w:t xml:space="preserve">Reporting to the FDA only occurs for FDA-regulated </w:t>
      </w:r>
      <w:r w:rsidRPr="002348DF">
        <w:rPr>
          <w:sz w:val="22"/>
          <w:szCs w:val="22"/>
          <w:u w:val="double"/>
        </w:rPr>
        <w:t>Human Research</w:t>
      </w:r>
      <w:r w:rsidRPr="002348DF">
        <w:rPr>
          <w:sz w:val="22"/>
          <w:szCs w:val="22"/>
        </w:rPr>
        <w:t>.</w:t>
      </w:r>
    </w:p>
    <w:p w14:paraId="70D4A916" w14:textId="77777777" w:rsidR="00F60FD6" w:rsidRPr="002348DF" w:rsidRDefault="00F60FD6" w:rsidP="006C0049">
      <w:pPr>
        <w:pStyle w:val="SOPLevel3"/>
        <w:tabs>
          <w:tab w:val="clear" w:pos="2142"/>
          <w:tab w:val="num" w:pos="1710"/>
        </w:tabs>
        <w:spacing w:line="276" w:lineRule="auto"/>
        <w:ind w:left="1710" w:hanging="810"/>
        <w:rPr>
          <w:sz w:val="22"/>
          <w:szCs w:val="22"/>
        </w:rPr>
      </w:pPr>
      <w:r w:rsidRPr="002348DF">
        <w:rPr>
          <w:sz w:val="22"/>
          <w:szCs w:val="22"/>
        </w:rPr>
        <w:t>Reporting to OHRP or the FDA should not occur if any of the above criteria are not met.</w:t>
      </w:r>
    </w:p>
    <w:p w14:paraId="1794E66C" w14:textId="72F4F53F" w:rsidR="007917FF" w:rsidRPr="002348DF" w:rsidRDefault="00F60FD6" w:rsidP="006C08EA">
      <w:pPr>
        <w:pStyle w:val="SOPLevel2"/>
        <w:spacing w:line="276" w:lineRule="auto"/>
        <w:rPr>
          <w:rFonts w:cs="Arial"/>
          <w:sz w:val="22"/>
          <w:szCs w:val="22"/>
        </w:rPr>
      </w:pPr>
      <w:r w:rsidRPr="002348DF">
        <w:rPr>
          <w:sz w:val="22"/>
          <w:szCs w:val="22"/>
        </w:rPr>
        <w:t>If the report is determined to be an unanticipated problem involving risk to subjects or others</w:t>
      </w:r>
      <w:r w:rsidR="00043290" w:rsidRPr="002348DF">
        <w:rPr>
          <w:sz w:val="22"/>
          <w:szCs w:val="22"/>
        </w:rPr>
        <w:t xml:space="preserve"> (OHRP)</w:t>
      </w:r>
      <w:r w:rsidR="00150F78" w:rsidRPr="002348DF">
        <w:rPr>
          <w:sz w:val="22"/>
          <w:szCs w:val="22"/>
        </w:rPr>
        <w:t xml:space="preserve"> or FDA reportable events (e.g. SUSAR, </w:t>
      </w:r>
      <w:r w:rsidR="00D9194D" w:rsidRPr="002348DF">
        <w:rPr>
          <w:sz w:val="22"/>
          <w:szCs w:val="22"/>
        </w:rPr>
        <w:t>UADE, etc.)</w:t>
      </w:r>
      <w:r w:rsidRPr="002348DF">
        <w:rPr>
          <w:sz w:val="22"/>
          <w:szCs w:val="22"/>
        </w:rPr>
        <w:t xml:space="preserve"> for a multi-site study AND did not occur locally </w:t>
      </w:r>
      <w:r w:rsidRPr="002348DF">
        <w:rPr>
          <w:sz w:val="22"/>
          <w:szCs w:val="22"/>
        </w:rPr>
        <w:lastRenderedPageBreak/>
        <w:t>(meaning at any site under this IRB’s purview) (e.g. the sponsor submits a protocol modification that includes a newly identified risk), reporting to OHRP and the FDA is not required.</w:t>
      </w:r>
      <w:r w:rsidRPr="002348DF">
        <w:t xml:space="preserve"> </w:t>
      </w:r>
    </w:p>
    <w:p w14:paraId="236E6220" w14:textId="77777777" w:rsidR="00326316" w:rsidRPr="0053738C" w:rsidRDefault="00326316" w:rsidP="008865E3">
      <w:pPr>
        <w:pStyle w:val="SOPLevel1"/>
        <w:spacing w:line="276" w:lineRule="auto"/>
        <w:rPr>
          <w:rFonts w:cs="Arial"/>
          <w:sz w:val="22"/>
          <w:szCs w:val="22"/>
        </w:rPr>
      </w:pPr>
      <w:r w:rsidRPr="0053738C">
        <w:rPr>
          <w:rFonts w:cs="Arial"/>
          <w:sz w:val="22"/>
          <w:szCs w:val="22"/>
        </w:rPr>
        <w:t>RESPONSIBILITIES</w:t>
      </w:r>
    </w:p>
    <w:p w14:paraId="5CB72C81" w14:textId="575D1946" w:rsidR="00326316" w:rsidRPr="0053738C" w:rsidRDefault="00927A11" w:rsidP="008865E3">
      <w:pPr>
        <w:pStyle w:val="SOPLevel2"/>
        <w:spacing w:line="276" w:lineRule="auto"/>
        <w:rPr>
          <w:rFonts w:cs="Arial"/>
          <w:sz w:val="22"/>
          <w:szCs w:val="22"/>
        </w:rPr>
      </w:pPr>
      <w:r w:rsidRPr="0053738C">
        <w:rPr>
          <w:rFonts w:cs="Arial"/>
          <w:sz w:val="22"/>
          <w:szCs w:val="22"/>
        </w:rPr>
        <w:t>IRB staff members carry out these procedures.</w:t>
      </w:r>
    </w:p>
    <w:p w14:paraId="7A334A9E" w14:textId="77777777" w:rsidR="00326316" w:rsidRPr="0053738C" w:rsidRDefault="00326316" w:rsidP="008865E3">
      <w:pPr>
        <w:pStyle w:val="SOPLevel1"/>
        <w:spacing w:line="276" w:lineRule="auto"/>
        <w:rPr>
          <w:rFonts w:cs="Arial"/>
          <w:sz w:val="22"/>
          <w:szCs w:val="22"/>
        </w:rPr>
      </w:pPr>
      <w:r w:rsidRPr="0053738C">
        <w:rPr>
          <w:rFonts w:cs="Arial"/>
          <w:sz w:val="22"/>
          <w:szCs w:val="22"/>
        </w:rPr>
        <w:t>PROCEDURE</w:t>
      </w:r>
    </w:p>
    <w:p w14:paraId="36FB568F" w14:textId="2939B2FB" w:rsidR="0053738C" w:rsidRPr="008F2DDA" w:rsidRDefault="0053738C" w:rsidP="006C08EA">
      <w:pPr>
        <w:pStyle w:val="SOPLevel2"/>
        <w:spacing w:line="276" w:lineRule="auto"/>
        <w:rPr>
          <w:rFonts w:cs="Arial"/>
          <w:sz w:val="22"/>
          <w:szCs w:val="22"/>
        </w:rPr>
      </w:pPr>
      <w:r w:rsidRPr="008F2DDA">
        <w:rPr>
          <w:rFonts w:cs="Arial"/>
          <w:sz w:val="22"/>
          <w:szCs w:val="22"/>
        </w:rPr>
        <w:t xml:space="preserve">If the </w:t>
      </w:r>
      <w:r w:rsidRPr="008F2DDA">
        <w:rPr>
          <w:rFonts w:cs="Arial"/>
          <w:sz w:val="22"/>
          <w:szCs w:val="22"/>
          <w:u w:val="double"/>
        </w:rPr>
        <w:t>Non-Committee Review</w:t>
      </w:r>
      <w:r w:rsidRPr="008F2DDA">
        <w:rPr>
          <w:rFonts w:cs="Arial"/>
          <w:sz w:val="22"/>
          <w:szCs w:val="22"/>
        </w:rPr>
        <w:t xml:space="preserve"> indicated</w:t>
      </w:r>
      <w:r w:rsidR="002348DF">
        <w:rPr>
          <w:rFonts w:cs="Arial"/>
          <w:sz w:val="22"/>
          <w:szCs w:val="22"/>
        </w:rPr>
        <w:t xml:space="preserve"> a possible</w:t>
      </w:r>
      <w:r w:rsidRPr="008F2DDA">
        <w:rPr>
          <w:rFonts w:cs="Arial"/>
          <w:sz w:val="22"/>
          <w:szCs w:val="22"/>
        </w:rPr>
        <w:t xml:space="preserve"> </w:t>
      </w:r>
      <w:r w:rsidRPr="008F2DDA">
        <w:rPr>
          <w:rFonts w:cs="Arial"/>
          <w:sz w:val="22"/>
          <w:szCs w:val="22"/>
          <w:u w:val="double"/>
        </w:rPr>
        <w:t>Conflict</w:t>
      </w:r>
      <w:r w:rsidR="002348DF">
        <w:rPr>
          <w:rFonts w:cs="Arial"/>
          <w:sz w:val="22"/>
          <w:szCs w:val="22"/>
          <w:u w:val="double"/>
        </w:rPr>
        <w:t>s of</w:t>
      </w:r>
      <w:r w:rsidRPr="008F2DDA">
        <w:rPr>
          <w:rFonts w:cs="Arial"/>
          <w:sz w:val="22"/>
          <w:szCs w:val="22"/>
          <w:u w:val="double"/>
        </w:rPr>
        <w:t xml:space="preserve"> Interest</w:t>
      </w:r>
      <w:r w:rsidRPr="008F2DDA">
        <w:rPr>
          <w:rFonts w:cs="Arial"/>
          <w:sz w:val="22"/>
          <w:szCs w:val="22"/>
        </w:rPr>
        <w:t xml:space="preserve"> or a lack of expertise, follow HRP-031 - SOP - Non-Committee Review Preparation.</w:t>
      </w:r>
    </w:p>
    <w:p w14:paraId="122E2FB3" w14:textId="77777777" w:rsidR="00A62D7A" w:rsidRPr="00A62D7A" w:rsidRDefault="00A62D7A" w:rsidP="00A62D7A">
      <w:pPr>
        <w:pStyle w:val="SOPLevel2"/>
        <w:spacing w:line="276" w:lineRule="auto"/>
        <w:rPr>
          <w:rFonts w:cs="Arial"/>
          <w:sz w:val="22"/>
          <w:szCs w:val="22"/>
        </w:rPr>
      </w:pPr>
      <w:r w:rsidRPr="00A62D7A">
        <w:rPr>
          <w:rFonts w:cs="Arial"/>
          <w:sz w:val="22"/>
          <w:szCs w:val="22"/>
        </w:rPr>
        <w:t xml:space="preserve">Review initial assessment during review of study: </w:t>
      </w:r>
    </w:p>
    <w:p w14:paraId="10E897EF" w14:textId="77777777" w:rsidR="00A62D7A" w:rsidRPr="008F2DDA" w:rsidRDefault="00A62D7A" w:rsidP="008F2DDA">
      <w:pPr>
        <w:pStyle w:val="SOPLevel3"/>
        <w:spacing w:line="276" w:lineRule="auto"/>
        <w:ind w:left="1710" w:hanging="810"/>
        <w:rPr>
          <w:sz w:val="22"/>
          <w:szCs w:val="22"/>
        </w:rPr>
      </w:pPr>
      <w:r w:rsidRPr="008F2DDA">
        <w:rPr>
          <w:sz w:val="22"/>
          <w:szCs w:val="22"/>
        </w:rPr>
        <w:t>During initial and continuing review, the IRB will assess each study’s risk level, complexity, and history of compliance.</w:t>
      </w:r>
    </w:p>
    <w:p w14:paraId="46195E40" w14:textId="77777777" w:rsidR="00A62D7A" w:rsidRPr="008F2DDA" w:rsidRDefault="00A62D7A" w:rsidP="008F2DDA">
      <w:pPr>
        <w:pStyle w:val="SOPLevel3"/>
        <w:spacing w:line="276" w:lineRule="auto"/>
        <w:ind w:left="1710" w:hanging="810"/>
        <w:rPr>
          <w:sz w:val="22"/>
          <w:szCs w:val="22"/>
        </w:rPr>
      </w:pPr>
      <w:r w:rsidRPr="008F2DDA">
        <w:rPr>
          <w:sz w:val="22"/>
          <w:szCs w:val="22"/>
        </w:rPr>
        <w:t>Studies involving high-risk interventions, vulnerable populations, or prior compliance concerns may be flagged for more frequent review.</w:t>
      </w:r>
    </w:p>
    <w:p w14:paraId="5641A074" w14:textId="77777777" w:rsidR="00A62D7A" w:rsidRPr="008F2DDA" w:rsidRDefault="00A62D7A" w:rsidP="008F2DDA">
      <w:pPr>
        <w:pStyle w:val="SOPLevel2"/>
        <w:spacing w:line="276" w:lineRule="auto"/>
        <w:rPr>
          <w:sz w:val="22"/>
          <w:szCs w:val="22"/>
        </w:rPr>
      </w:pPr>
      <w:r w:rsidRPr="008F2DDA">
        <w:rPr>
          <w:sz w:val="22"/>
          <w:szCs w:val="22"/>
        </w:rPr>
        <w:t>Criteria for determining more frequent review:</w:t>
      </w:r>
    </w:p>
    <w:p w14:paraId="2EB56EDD" w14:textId="77777777" w:rsidR="00A62D7A" w:rsidRPr="008F2DDA" w:rsidRDefault="00A62D7A" w:rsidP="008F2DDA">
      <w:pPr>
        <w:pStyle w:val="SOPLevel3"/>
        <w:spacing w:line="276" w:lineRule="auto"/>
        <w:ind w:left="1710" w:hanging="810"/>
        <w:rPr>
          <w:sz w:val="22"/>
          <w:szCs w:val="22"/>
        </w:rPr>
      </w:pPr>
      <w:r w:rsidRPr="008F2DDA">
        <w:rPr>
          <w:sz w:val="22"/>
          <w:szCs w:val="22"/>
        </w:rPr>
        <w:t>The IRB may require review more often than annually if:</w:t>
      </w:r>
    </w:p>
    <w:p w14:paraId="016ADD45" w14:textId="77777777" w:rsidR="00A62D7A" w:rsidRPr="008F2DDA" w:rsidRDefault="00A62D7A" w:rsidP="008F2DDA">
      <w:pPr>
        <w:pStyle w:val="SOPLevel4"/>
        <w:spacing w:line="276" w:lineRule="auto"/>
        <w:rPr>
          <w:sz w:val="22"/>
          <w:szCs w:val="22"/>
        </w:rPr>
      </w:pPr>
      <w:r w:rsidRPr="008F2DDA">
        <w:rPr>
          <w:sz w:val="22"/>
          <w:szCs w:val="22"/>
        </w:rPr>
        <w:t xml:space="preserve">The study involves significant </w:t>
      </w:r>
      <w:proofErr w:type="gramStart"/>
      <w:r w:rsidRPr="008F2DDA">
        <w:rPr>
          <w:sz w:val="22"/>
          <w:szCs w:val="22"/>
        </w:rPr>
        <w:t>risk</w:t>
      </w:r>
      <w:proofErr w:type="gramEnd"/>
      <w:r w:rsidRPr="008F2DDA">
        <w:rPr>
          <w:sz w:val="22"/>
          <w:szCs w:val="22"/>
        </w:rPr>
        <w:t xml:space="preserve"> to subjects.</w:t>
      </w:r>
    </w:p>
    <w:p w14:paraId="7BB75064" w14:textId="77777777" w:rsidR="00A62D7A" w:rsidRPr="008F2DDA" w:rsidRDefault="00A62D7A" w:rsidP="008F2DDA">
      <w:pPr>
        <w:pStyle w:val="SOPLevel4"/>
        <w:spacing w:line="276" w:lineRule="auto"/>
        <w:rPr>
          <w:sz w:val="22"/>
          <w:szCs w:val="22"/>
        </w:rPr>
      </w:pPr>
      <w:r w:rsidRPr="008F2DDA">
        <w:rPr>
          <w:sz w:val="22"/>
          <w:szCs w:val="22"/>
        </w:rPr>
        <w:t>There is a history of investigator noncompliance.</w:t>
      </w:r>
    </w:p>
    <w:p w14:paraId="4294129A" w14:textId="77777777" w:rsidR="00A62D7A" w:rsidRPr="008F2DDA" w:rsidRDefault="00A62D7A" w:rsidP="008F2DDA">
      <w:pPr>
        <w:pStyle w:val="SOPLevel4"/>
        <w:spacing w:line="276" w:lineRule="auto"/>
        <w:rPr>
          <w:sz w:val="22"/>
          <w:szCs w:val="22"/>
        </w:rPr>
      </w:pPr>
      <w:r w:rsidRPr="008F2DDA">
        <w:rPr>
          <w:sz w:val="22"/>
          <w:szCs w:val="22"/>
        </w:rPr>
        <w:t>The study includes complex procedures or multi-site coordination.</w:t>
      </w:r>
    </w:p>
    <w:p w14:paraId="459A7024" w14:textId="77777777" w:rsidR="00A62D7A" w:rsidRPr="008F2DDA" w:rsidRDefault="00A62D7A" w:rsidP="008F2DDA">
      <w:pPr>
        <w:pStyle w:val="SOPLevel4"/>
        <w:spacing w:line="276" w:lineRule="auto"/>
        <w:rPr>
          <w:sz w:val="22"/>
          <w:szCs w:val="22"/>
        </w:rPr>
      </w:pPr>
      <w:r w:rsidRPr="008F2DDA">
        <w:rPr>
          <w:sz w:val="22"/>
          <w:szCs w:val="22"/>
        </w:rPr>
        <w:t>There are concerns about data integrity or subject safety.</w:t>
      </w:r>
    </w:p>
    <w:p w14:paraId="50CCF8E2" w14:textId="77777777" w:rsidR="00A62D7A" w:rsidRPr="008F2DDA" w:rsidRDefault="00A62D7A" w:rsidP="008F2DDA">
      <w:pPr>
        <w:pStyle w:val="SOPLevel2"/>
        <w:spacing w:line="276" w:lineRule="auto"/>
        <w:rPr>
          <w:sz w:val="22"/>
          <w:szCs w:val="22"/>
        </w:rPr>
      </w:pPr>
      <w:r w:rsidRPr="008F2DDA">
        <w:rPr>
          <w:sz w:val="22"/>
          <w:szCs w:val="22"/>
        </w:rPr>
        <w:t>Documentation for more frequent review:</w:t>
      </w:r>
    </w:p>
    <w:p w14:paraId="6274CDD7" w14:textId="77777777" w:rsidR="00A62D7A" w:rsidRPr="008F2DDA" w:rsidRDefault="00A62D7A" w:rsidP="008F2DDA">
      <w:pPr>
        <w:pStyle w:val="SOPLevel3"/>
        <w:spacing w:line="276" w:lineRule="auto"/>
        <w:ind w:left="1710" w:hanging="810"/>
        <w:rPr>
          <w:sz w:val="22"/>
          <w:szCs w:val="22"/>
        </w:rPr>
      </w:pPr>
      <w:r w:rsidRPr="008F2DDA">
        <w:rPr>
          <w:sz w:val="22"/>
          <w:szCs w:val="22"/>
        </w:rPr>
        <w:t>The IRB will document the rationale for requiring more frequent review in the meeting minutes and IRB determination letter.</w:t>
      </w:r>
    </w:p>
    <w:p w14:paraId="3609A5D8" w14:textId="77777777" w:rsidR="00A62D7A" w:rsidRPr="008F2DDA" w:rsidRDefault="00A62D7A" w:rsidP="008F2DDA">
      <w:pPr>
        <w:pStyle w:val="SOPLevel2"/>
        <w:spacing w:line="276" w:lineRule="auto"/>
        <w:rPr>
          <w:sz w:val="22"/>
          <w:szCs w:val="22"/>
        </w:rPr>
      </w:pPr>
      <w:r w:rsidRPr="008F2DDA">
        <w:rPr>
          <w:sz w:val="22"/>
          <w:szCs w:val="22"/>
        </w:rPr>
        <w:t>Verification from External Sources:</w:t>
      </w:r>
    </w:p>
    <w:p w14:paraId="2B2C2929" w14:textId="77777777" w:rsidR="00A62D7A" w:rsidRPr="008F2DDA" w:rsidRDefault="00A62D7A" w:rsidP="008F2DDA">
      <w:pPr>
        <w:pStyle w:val="SOPLevel3"/>
        <w:spacing w:line="276" w:lineRule="auto"/>
        <w:ind w:left="1710" w:hanging="810"/>
        <w:rPr>
          <w:sz w:val="22"/>
          <w:szCs w:val="22"/>
        </w:rPr>
      </w:pPr>
      <w:r w:rsidRPr="008F2DDA">
        <w:rPr>
          <w:sz w:val="22"/>
          <w:szCs w:val="22"/>
        </w:rPr>
        <w:t>The IRB may require verification from sources other than the investigator (e.g., sponsor, monitor, auditor) when:</w:t>
      </w:r>
    </w:p>
    <w:p w14:paraId="5833CDA1" w14:textId="77777777" w:rsidR="00A62D7A" w:rsidRPr="008F2DDA" w:rsidRDefault="00A62D7A" w:rsidP="008F2DDA">
      <w:pPr>
        <w:pStyle w:val="SOPLevel4"/>
        <w:spacing w:line="276" w:lineRule="auto"/>
        <w:ind w:left="2700" w:hanging="972"/>
        <w:rPr>
          <w:sz w:val="22"/>
          <w:szCs w:val="22"/>
        </w:rPr>
      </w:pPr>
      <w:r w:rsidRPr="008F2DDA">
        <w:rPr>
          <w:sz w:val="22"/>
          <w:szCs w:val="22"/>
        </w:rPr>
        <w:t>There is reason to question the accuracy or completeness of the investigator’s reports.</w:t>
      </w:r>
    </w:p>
    <w:p w14:paraId="56647B1E" w14:textId="77777777" w:rsidR="00A62D7A" w:rsidRPr="008F2DDA" w:rsidRDefault="00A62D7A" w:rsidP="008F2DDA">
      <w:pPr>
        <w:pStyle w:val="SOPLevel4"/>
        <w:spacing w:line="276" w:lineRule="auto"/>
        <w:rPr>
          <w:sz w:val="22"/>
          <w:szCs w:val="22"/>
        </w:rPr>
      </w:pPr>
      <w:r w:rsidRPr="008F2DDA">
        <w:rPr>
          <w:sz w:val="22"/>
          <w:szCs w:val="22"/>
        </w:rPr>
        <w:t>The study has experienced unanticipated problems or adverse events.</w:t>
      </w:r>
    </w:p>
    <w:p w14:paraId="67D421BC" w14:textId="77777777" w:rsidR="00A62D7A" w:rsidRPr="008F2DDA" w:rsidRDefault="00A62D7A" w:rsidP="008F2DDA">
      <w:pPr>
        <w:pStyle w:val="SOPLevel4"/>
        <w:spacing w:line="276" w:lineRule="auto"/>
        <w:rPr>
          <w:sz w:val="22"/>
          <w:szCs w:val="22"/>
        </w:rPr>
      </w:pPr>
      <w:r w:rsidRPr="008F2DDA">
        <w:rPr>
          <w:sz w:val="22"/>
          <w:szCs w:val="22"/>
        </w:rPr>
        <w:t>There is evidence of serious or continuing noncompliance.</w:t>
      </w:r>
    </w:p>
    <w:p w14:paraId="501F2275" w14:textId="77777777" w:rsidR="00A62D7A" w:rsidRPr="008F2DDA" w:rsidRDefault="00A62D7A" w:rsidP="008F2DDA">
      <w:pPr>
        <w:pStyle w:val="SOPLevel2"/>
        <w:spacing w:line="276" w:lineRule="auto"/>
        <w:rPr>
          <w:sz w:val="22"/>
          <w:szCs w:val="22"/>
        </w:rPr>
      </w:pPr>
      <w:r w:rsidRPr="008F2DDA">
        <w:rPr>
          <w:sz w:val="22"/>
          <w:szCs w:val="22"/>
        </w:rPr>
        <w:t>Process for Verification:</w:t>
      </w:r>
    </w:p>
    <w:p w14:paraId="5579B154" w14:textId="77777777" w:rsidR="00A62D7A" w:rsidRPr="008F2DDA" w:rsidRDefault="00A62D7A" w:rsidP="008F2DDA">
      <w:pPr>
        <w:pStyle w:val="SOPLevel3"/>
        <w:spacing w:line="276" w:lineRule="auto"/>
        <w:ind w:left="1710" w:hanging="810"/>
        <w:rPr>
          <w:sz w:val="22"/>
          <w:szCs w:val="22"/>
        </w:rPr>
      </w:pPr>
      <w:r w:rsidRPr="008F2DDA">
        <w:rPr>
          <w:sz w:val="22"/>
          <w:szCs w:val="22"/>
        </w:rPr>
        <w:t>The IRB Chair or designee will identify appropriate external sources.</w:t>
      </w:r>
    </w:p>
    <w:p w14:paraId="3894C0A7" w14:textId="77777777" w:rsidR="00A62D7A" w:rsidRPr="008F2DDA" w:rsidRDefault="00A62D7A" w:rsidP="008F2DDA">
      <w:pPr>
        <w:pStyle w:val="SOPLevel3"/>
        <w:spacing w:line="276" w:lineRule="auto"/>
        <w:ind w:left="1710" w:hanging="810"/>
        <w:rPr>
          <w:sz w:val="22"/>
          <w:szCs w:val="22"/>
        </w:rPr>
      </w:pPr>
      <w:r w:rsidRPr="008F2DDA">
        <w:rPr>
          <w:sz w:val="22"/>
          <w:szCs w:val="22"/>
        </w:rPr>
        <w:t>Requests for verification will be documented and tracked.</w:t>
      </w:r>
    </w:p>
    <w:p w14:paraId="3DAF980A" w14:textId="77777777" w:rsidR="00A62D7A" w:rsidRPr="008F2DDA" w:rsidRDefault="00A62D7A" w:rsidP="008F2DDA">
      <w:pPr>
        <w:pStyle w:val="SOPLevel3"/>
        <w:spacing w:line="276" w:lineRule="auto"/>
        <w:ind w:left="1710" w:hanging="810"/>
        <w:rPr>
          <w:sz w:val="22"/>
          <w:szCs w:val="22"/>
        </w:rPr>
      </w:pPr>
      <w:r w:rsidRPr="008F2DDA">
        <w:rPr>
          <w:sz w:val="22"/>
          <w:szCs w:val="22"/>
        </w:rPr>
        <w:t>Verified information will be reviewed by the IRB prior to continuing approval.</w:t>
      </w:r>
    </w:p>
    <w:p w14:paraId="63347D65" w14:textId="77777777" w:rsidR="0053738C" w:rsidRPr="008F2DDA" w:rsidRDefault="0053738C" w:rsidP="006C08EA">
      <w:pPr>
        <w:pStyle w:val="SOPLevel2"/>
        <w:spacing w:line="276" w:lineRule="auto"/>
        <w:rPr>
          <w:rFonts w:cs="Arial"/>
          <w:sz w:val="22"/>
          <w:szCs w:val="22"/>
        </w:rPr>
      </w:pPr>
      <w:r w:rsidRPr="008F2DDA">
        <w:rPr>
          <w:rFonts w:cs="Arial"/>
          <w:sz w:val="22"/>
          <w:szCs w:val="22"/>
        </w:rPr>
        <w:t>For initial reviews, continuing reviews, or modifications:</w:t>
      </w:r>
    </w:p>
    <w:p w14:paraId="6FBB7689" w14:textId="77777777" w:rsidR="0053738C" w:rsidRPr="008F2DDA" w:rsidRDefault="0053738C" w:rsidP="006C08EA">
      <w:pPr>
        <w:pStyle w:val="SOPLevel3"/>
        <w:tabs>
          <w:tab w:val="clear" w:pos="2142"/>
          <w:tab w:val="num" w:pos="1710"/>
        </w:tabs>
        <w:spacing w:line="276" w:lineRule="auto"/>
        <w:ind w:left="1710" w:hanging="810"/>
        <w:rPr>
          <w:rFonts w:cs="Arial"/>
          <w:sz w:val="22"/>
          <w:szCs w:val="22"/>
        </w:rPr>
      </w:pPr>
      <w:r w:rsidRPr="008F2DDA">
        <w:rPr>
          <w:rFonts w:cs="Arial"/>
          <w:sz w:val="22"/>
          <w:szCs w:val="22"/>
        </w:rPr>
        <w:t>If the communication is an IRB determination of Approved:</w:t>
      </w:r>
    </w:p>
    <w:p w14:paraId="7564AD6C" w14:textId="162F81DC" w:rsidR="00285EE0" w:rsidRPr="008F2DDA" w:rsidRDefault="00CA6711" w:rsidP="008F2DDA">
      <w:pPr>
        <w:pStyle w:val="SOPLevel4"/>
        <w:spacing w:line="276" w:lineRule="auto"/>
        <w:ind w:left="2700" w:hanging="972"/>
        <w:rPr>
          <w:sz w:val="22"/>
          <w:szCs w:val="22"/>
        </w:rPr>
      </w:pPr>
      <w:r w:rsidRPr="008F2DDA">
        <w:rPr>
          <w:rFonts w:cs="Arial"/>
          <w:sz w:val="22"/>
          <w:szCs w:val="22"/>
        </w:rPr>
        <w:t xml:space="preserve">For DHHS-regulated research involving prisoners, </w:t>
      </w:r>
      <w:r w:rsidR="00E16100" w:rsidRPr="008F2DDA">
        <w:rPr>
          <w:rFonts w:cs="Arial"/>
          <w:sz w:val="22"/>
          <w:szCs w:val="22"/>
        </w:rPr>
        <w:t>i</w:t>
      </w:r>
      <w:r w:rsidR="00285EE0" w:rsidRPr="008F2DDA">
        <w:rPr>
          <w:rFonts w:cs="Arial"/>
          <w:sz w:val="22"/>
          <w:szCs w:val="22"/>
        </w:rPr>
        <w:t xml:space="preserve">f HRP-415 – CHECKLIST – Prisoners reflects </w:t>
      </w:r>
      <w:r w:rsidR="00633FA2" w:rsidRPr="008F2DDA">
        <w:rPr>
          <w:rFonts w:cs="Arial"/>
          <w:sz w:val="22"/>
          <w:szCs w:val="22"/>
        </w:rPr>
        <w:t>prisoners as a class or prisoners as controls, await</w:t>
      </w:r>
      <w:r w:rsidR="00444390" w:rsidRPr="008F2DDA">
        <w:rPr>
          <w:rFonts w:cs="Arial"/>
          <w:sz w:val="22"/>
          <w:szCs w:val="22"/>
        </w:rPr>
        <w:t xml:space="preserve"> </w:t>
      </w:r>
      <w:r w:rsidR="00633FA2" w:rsidRPr="008F2DDA">
        <w:rPr>
          <w:rFonts w:cs="Arial"/>
          <w:sz w:val="22"/>
          <w:szCs w:val="22"/>
        </w:rPr>
        <w:t>OHRP approval before proceeding.</w:t>
      </w:r>
    </w:p>
    <w:p w14:paraId="31E54AC9" w14:textId="6DA1B99B" w:rsidR="002E6CC4" w:rsidRPr="008F2DDA" w:rsidRDefault="0052653E" w:rsidP="006C08EA">
      <w:pPr>
        <w:pStyle w:val="SOPLevel4"/>
        <w:spacing w:line="276" w:lineRule="auto"/>
        <w:ind w:left="2700" w:hanging="972"/>
        <w:rPr>
          <w:rFonts w:cs="Arial"/>
          <w:sz w:val="22"/>
          <w:szCs w:val="22"/>
        </w:rPr>
      </w:pPr>
      <w:r w:rsidRPr="008F2DDA">
        <w:rPr>
          <w:rFonts w:cs="Arial"/>
          <w:sz w:val="22"/>
          <w:szCs w:val="22"/>
        </w:rPr>
        <w:t>For NIJ-supported research, send the IRB approved Privacy Certificate to the IRB Chair or authorized institutional representative for signature.</w:t>
      </w:r>
    </w:p>
    <w:p w14:paraId="70478D0E" w14:textId="686FEDC6" w:rsidR="0052653E" w:rsidRPr="008F2DDA" w:rsidRDefault="0052653E" w:rsidP="008F2DDA">
      <w:pPr>
        <w:pStyle w:val="SOPLevel5"/>
        <w:spacing w:line="276" w:lineRule="auto"/>
        <w:rPr>
          <w:sz w:val="22"/>
          <w:szCs w:val="28"/>
        </w:rPr>
      </w:pPr>
      <w:r w:rsidRPr="008F2DDA">
        <w:rPr>
          <w:sz w:val="22"/>
          <w:szCs w:val="28"/>
        </w:rPr>
        <w:t>Execute “Add Comment” and upload the signed Privacy Certificate to Supporting Documents; send notification to the PI/PI Proxy/Primary Contact.</w:t>
      </w:r>
    </w:p>
    <w:p w14:paraId="1AD491EA" w14:textId="01DD3D5B" w:rsidR="0053738C" w:rsidRPr="008F2DDA" w:rsidRDefault="0053738C" w:rsidP="006C08EA">
      <w:pPr>
        <w:pStyle w:val="SOPLevel4"/>
        <w:spacing w:line="276" w:lineRule="auto"/>
        <w:ind w:left="2700" w:hanging="972"/>
        <w:rPr>
          <w:rFonts w:cs="Arial"/>
          <w:sz w:val="22"/>
          <w:szCs w:val="22"/>
        </w:rPr>
      </w:pPr>
      <w:r w:rsidRPr="008F2DDA">
        <w:rPr>
          <w:rFonts w:cs="Arial"/>
          <w:sz w:val="22"/>
          <w:szCs w:val="22"/>
        </w:rPr>
        <w:t>Execute the “Finalize Documents”</w:t>
      </w:r>
      <w:r w:rsidR="00A7086C">
        <w:rPr>
          <w:rFonts w:cs="Arial"/>
          <w:sz w:val="22"/>
          <w:szCs w:val="22"/>
        </w:rPr>
        <w:t xml:space="preserve"> activity </w:t>
      </w:r>
      <w:r w:rsidRPr="008F2DDA">
        <w:rPr>
          <w:rFonts w:cs="Arial"/>
          <w:sz w:val="22"/>
          <w:szCs w:val="22"/>
        </w:rPr>
        <w:t>and accept all changes for attached documents.</w:t>
      </w:r>
    </w:p>
    <w:p w14:paraId="67EE7527" w14:textId="77777777" w:rsidR="0053738C" w:rsidRPr="008F2DDA" w:rsidRDefault="0053738C" w:rsidP="006C08EA">
      <w:pPr>
        <w:pStyle w:val="SOPLevel4"/>
        <w:spacing w:line="276" w:lineRule="auto"/>
        <w:ind w:left="2700" w:hanging="972"/>
        <w:rPr>
          <w:rFonts w:cs="Arial"/>
          <w:sz w:val="22"/>
          <w:szCs w:val="22"/>
        </w:rPr>
      </w:pPr>
      <w:r w:rsidRPr="008F2DDA">
        <w:rPr>
          <w:rFonts w:cs="Arial"/>
          <w:sz w:val="22"/>
          <w:szCs w:val="22"/>
        </w:rPr>
        <w:lastRenderedPageBreak/>
        <w:t>Execute the “Prepare Letter” activity and modify the letter as needed.</w:t>
      </w:r>
    </w:p>
    <w:p w14:paraId="42114D62" w14:textId="77777777" w:rsidR="0053738C" w:rsidRPr="008F2DDA" w:rsidRDefault="0053738C" w:rsidP="006C08EA">
      <w:pPr>
        <w:pStyle w:val="SOPLevel4"/>
        <w:spacing w:line="276" w:lineRule="auto"/>
        <w:ind w:left="2700" w:hanging="972"/>
        <w:rPr>
          <w:rFonts w:cs="Arial"/>
          <w:sz w:val="22"/>
          <w:szCs w:val="22"/>
        </w:rPr>
      </w:pPr>
      <w:r w:rsidRPr="008F2DDA">
        <w:rPr>
          <w:rFonts w:cs="Arial"/>
          <w:sz w:val="22"/>
          <w:szCs w:val="22"/>
        </w:rPr>
        <w:t>Execute the “Send Letter” activity.</w:t>
      </w:r>
    </w:p>
    <w:p w14:paraId="2CD277E1" w14:textId="77777777" w:rsidR="0053738C" w:rsidRPr="008F2DDA" w:rsidRDefault="0053738C" w:rsidP="006C08EA">
      <w:pPr>
        <w:pStyle w:val="SOPLevel3"/>
        <w:tabs>
          <w:tab w:val="clear" w:pos="2142"/>
          <w:tab w:val="num" w:pos="1710"/>
        </w:tabs>
        <w:spacing w:line="276" w:lineRule="auto"/>
        <w:ind w:left="1710" w:hanging="810"/>
        <w:rPr>
          <w:rFonts w:cs="Arial"/>
          <w:sz w:val="22"/>
          <w:szCs w:val="22"/>
        </w:rPr>
      </w:pPr>
      <w:r w:rsidRPr="008F2DDA">
        <w:rPr>
          <w:rFonts w:cs="Arial"/>
          <w:sz w:val="22"/>
          <w:szCs w:val="22"/>
        </w:rPr>
        <w:t xml:space="preserve">If </w:t>
      </w:r>
      <w:proofErr w:type="gramStart"/>
      <w:r w:rsidRPr="008F2DDA">
        <w:rPr>
          <w:rFonts w:cs="Arial"/>
          <w:sz w:val="22"/>
          <w:szCs w:val="22"/>
        </w:rPr>
        <w:t>the communication</w:t>
      </w:r>
      <w:proofErr w:type="gramEnd"/>
      <w:r w:rsidRPr="008F2DDA">
        <w:rPr>
          <w:rFonts w:cs="Arial"/>
          <w:sz w:val="22"/>
          <w:szCs w:val="22"/>
        </w:rPr>
        <w:t xml:space="preserve"> is an IRB determination other than Approved:</w:t>
      </w:r>
    </w:p>
    <w:p w14:paraId="214DACF6" w14:textId="77777777" w:rsidR="0053738C" w:rsidRPr="008F2DDA" w:rsidRDefault="0053738C" w:rsidP="006C08EA">
      <w:pPr>
        <w:pStyle w:val="SOPLevel4"/>
        <w:spacing w:line="276" w:lineRule="auto"/>
        <w:ind w:left="2700" w:hanging="972"/>
        <w:rPr>
          <w:rFonts w:cs="Arial"/>
          <w:sz w:val="22"/>
          <w:szCs w:val="22"/>
        </w:rPr>
      </w:pPr>
      <w:r w:rsidRPr="008F2DDA">
        <w:rPr>
          <w:rFonts w:cs="Arial"/>
          <w:sz w:val="22"/>
          <w:szCs w:val="22"/>
        </w:rPr>
        <w:t>Execute the “Prepare Letter” activity and modify the letter as needed.</w:t>
      </w:r>
    </w:p>
    <w:p w14:paraId="3BF11203" w14:textId="77777777" w:rsidR="0053738C" w:rsidRPr="008F2DDA" w:rsidRDefault="0053738C" w:rsidP="006C08EA">
      <w:pPr>
        <w:pStyle w:val="SOPLevel4"/>
        <w:spacing w:line="276" w:lineRule="auto"/>
        <w:ind w:left="2700" w:hanging="972"/>
        <w:rPr>
          <w:rFonts w:cs="Arial"/>
          <w:sz w:val="22"/>
          <w:szCs w:val="22"/>
        </w:rPr>
      </w:pPr>
      <w:r w:rsidRPr="008F2DDA">
        <w:rPr>
          <w:rFonts w:cs="Arial"/>
          <w:sz w:val="22"/>
          <w:szCs w:val="22"/>
        </w:rPr>
        <w:t>Execute the “Send Letter” activity.</w:t>
      </w:r>
    </w:p>
    <w:p w14:paraId="6D84D9CF" w14:textId="3843D590" w:rsidR="0053738C" w:rsidRPr="008F2DDA" w:rsidRDefault="0053738C" w:rsidP="008F2DDA">
      <w:pPr>
        <w:pStyle w:val="SOPLevel2"/>
        <w:rPr>
          <w:sz w:val="22"/>
          <w:szCs w:val="22"/>
        </w:rPr>
      </w:pPr>
      <w:r w:rsidRPr="008F2DDA">
        <w:rPr>
          <w:rFonts w:cs="Arial"/>
          <w:sz w:val="22"/>
          <w:szCs w:val="22"/>
        </w:rPr>
        <w:t xml:space="preserve">Refer to HRP-303 - WORKSHEET - Communication of Review Results to determine if </w:t>
      </w:r>
      <w:r w:rsidR="0094337E" w:rsidRPr="000D51B3">
        <w:rPr>
          <w:rFonts w:cs="Arial"/>
          <w:sz w:val="22"/>
          <w:szCs w:val="22"/>
        </w:rPr>
        <w:t xml:space="preserve">non- eIRB2 </w:t>
      </w:r>
      <w:r w:rsidR="008A4DA8" w:rsidRPr="000D51B3">
        <w:rPr>
          <w:rFonts w:cs="Arial"/>
          <w:sz w:val="22"/>
          <w:szCs w:val="22"/>
        </w:rPr>
        <w:t xml:space="preserve">generated letters </w:t>
      </w:r>
      <w:r w:rsidRPr="008F2DDA">
        <w:rPr>
          <w:rFonts w:cs="Arial"/>
          <w:sz w:val="22"/>
          <w:szCs w:val="22"/>
        </w:rPr>
        <w:t>need to be sent</w:t>
      </w:r>
      <w:r w:rsidRPr="008F2DDA">
        <w:rPr>
          <w:rFonts w:cs="Arial"/>
        </w:rPr>
        <w:t>.</w:t>
      </w:r>
    </w:p>
    <w:p w14:paraId="1CA4BF81" w14:textId="1D64BE5F" w:rsidR="0053738C" w:rsidRPr="008F2DDA" w:rsidRDefault="0053738C" w:rsidP="008F2DDA">
      <w:pPr>
        <w:pStyle w:val="SOPLevel3"/>
        <w:spacing w:line="276" w:lineRule="auto"/>
        <w:ind w:left="1710" w:hanging="810"/>
        <w:rPr>
          <w:sz w:val="22"/>
          <w:szCs w:val="22"/>
        </w:rPr>
      </w:pPr>
      <w:r w:rsidRPr="008F2DDA">
        <w:rPr>
          <w:sz w:val="22"/>
          <w:szCs w:val="22"/>
        </w:rPr>
        <w:t xml:space="preserve">Send the letter </w:t>
      </w:r>
      <w:r w:rsidR="0094337E">
        <w:rPr>
          <w:sz w:val="22"/>
          <w:szCs w:val="22"/>
        </w:rPr>
        <w:t>via eIRB2 system</w:t>
      </w:r>
      <w:r w:rsidRPr="008F2DDA">
        <w:rPr>
          <w:sz w:val="22"/>
          <w:szCs w:val="22"/>
        </w:rPr>
        <w:t>.</w:t>
      </w:r>
    </w:p>
    <w:p w14:paraId="599C93FF" w14:textId="77777777" w:rsidR="0053738C" w:rsidRPr="008F2DDA" w:rsidRDefault="0053738C" w:rsidP="006C08EA">
      <w:pPr>
        <w:pStyle w:val="SOPLevel2"/>
        <w:spacing w:line="276" w:lineRule="auto"/>
        <w:rPr>
          <w:rFonts w:cs="Arial"/>
          <w:sz w:val="22"/>
          <w:szCs w:val="22"/>
        </w:rPr>
      </w:pPr>
      <w:r w:rsidRPr="008F2DDA">
        <w:rPr>
          <w:rFonts w:cs="Arial"/>
          <w:sz w:val="22"/>
          <w:szCs w:val="22"/>
        </w:rPr>
        <w:t xml:space="preserve">For determinations of </w:t>
      </w:r>
      <w:r w:rsidRPr="008F2DDA">
        <w:rPr>
          <w:rFonts w:cs="Arial"/>
          <w:sz w:val="22"/>
          <w:szCs w:val="22"/>
          <w:u w:val="double"/>
        </w:rPr>
        <w:t>Serious Non-Compliance</w:t>
      </w:r>
      <w:r w:rsidRPr="008F2DDA">
        <w:rPr>
          <w:rFonts w:cs="Arial"/>
          <w:sz w:val="22"/>
          <w:szCs w:val="22"/>
        </w:rPr>
        <w:t xml:space="preserve">; </w:t>
      </w:r>
      <w:r w:rsidRPr="008F2DDA">
        <w:rPr>
          <w:rFonts w:cs="Arial"/>
          <w:sz w:val="22"/>
          <w:szCs w:val="22"/>
          <w:u w:val="double"/>
        </w:rPr>
        <w:t>Continuing Non-Compliance</w:t>
      </w:r>
      <w:r w:rsidRPr="008F2DDA">
        <w:rPr>
          <w:rFonts w:cs="Arial"/>
          <w:sz w:val="22"/>
          <w:szCs w:val="22"/>
        </w:rPr>
        <w:t xml:space="preserve">; </w:t>
      </w:r>
      <w:r w:rsidRPr="008F2DDA">
        <w:rPr>
          <w:rFonts w:cs="Arial"/>
          <w:sz w:val="22"/>
          <w:szCs w:val="22"/>
          <w:u w:val="double"/>
        </w:rPr>
        <w:t>Suspension of IRB Approval</w:t>
      </w:r>
      <w:r w:rsidRPr="008F2DDA">
        <w:rPr>
          <w:rFonts w:cs="Arial"/>
          <w:sz w:val="22"/>
          <w:szCs w:val="22"/>
        </w:rPr>
        <w:t xml:space="preserve">; </w:t>
      </w:r>
      <w:r w:rsidRPr="008F2DDA">
        <w:rPr>
          <w:rFonts w:cs="Arial"/>
          <w:sz w:val="22"/>
          <w:szCs w:val="22"/>
          <w:u w:val="double"/>
        </w:rPr>
        <w:t>Termination of IRB Approval</w:t>
      </w:r>
      <w:r w:rsidRPr="008F2DDA">
        <w:rPr>
          <w:rFonts w:cs="Arial"/>
          <w:sz w:val="22"/>
          <w:szCs w:val="22"/>
        </w:rPr>
        <w:t xml:space="preserve">; or </w:t>
      </w:r>
      <w:r w:rsidRPr="008F2DDA">
        <w:rPr>
          <w:rFonts w:cs="Arial"/>
          <w:sz w:val="22"/>
          <w:szCs w:val="22"/>
          <w:u w:val="double"/>
        </w:rPr>
        <w:t>Unanticipated Problem Involving Risks to Subjects or Others</w:t>
      </w:r>
      <w:r w:rsidRPr="008F2DDA">
        <w:rPr>
          <w:rFonts w:cs="Arial"/>
          <w:sz w:val="22"/>
          <w:szCs w:val="22"/>
        </w:rPr>
        <w:t>:</w:t>
      </w:r>
    </w:p>
    <w:p w14:paraId="66E67EF7" w14:textId="77777777" w:rsidR="0053738C" w:rsidRPr="008F2DDA" w:rsidRDefault="0053738C" w:rsidP="006C08EA">
      <w:pPr>
        <w:pStyle w:val="SOPLevel3"/>
        <w:tabs>
          <w:tab w:val="clear" w:pos="2142"/>
          <w:tab w:val="num" w:pos="1710"/>
        </w:tabs>
        <w:spacing w:line="276" w:lineRule="auto"/>
        <w:ind w:left="1710" w:hanging="810"/>
        <w:rPr>
          <w:sz w:val="22"/>
          <w:szCs w:val="22"/>
        </w:rPr>
      </w:pPr>
      <w:r w:rsidRPr="008F2DDA">
        <w:rPr>
          <w:sz w:val="22"/>
          <w:szCs w:val="22"/>
        </w:rPr>
        <w:t xml:space="preserve">If the determination was </w:t>
      </w:r>
      <w:r w:rsidRPr="008F2DDA">
        <w:rPr>
          <w:rFonts w:cs="Arial"/>
          <w:sz w:val="22"/>
          <w:szCs w:val="22"/>
          <w:u w:val="double"/>
        </w:rPr>
        <w:t>Serious Non-Compliance</w:t>
      </w:r>
      <w:r w:rsidRPr="008F2DDA">
        <w:rPr>
          <w:rFonts w:cs="Arial"/>
          <w:sz w:val="22"/>
          <w:szCs w:val="22"/>
        </w:rPr>
        <w:t xml:space="preserve">; </w:t>
      </w:r>
      <w:r w:rsidRPr="008F2DDA">
        <w:rPr>
          <w:rFonts w:cs="Arial"/>
          <w:sz w:val="22"/>
          <w:szCs w:val="22"/>
          <w:u w:val="double"/>
        </w:rPr>
        <w:t>Continuing Non-Compliance</w:t>
      </w:r>
      <w:r w:rsidRPr="008F2DDA">
        <w:rPr>
          <w:rFonts w:cs="Arial"/>
          <w:sz w:val="22"/>
          <w:szCs w:val="22"/>
        </w:rPr>
        <w:t xml:space="preserve">; or </w:t>
      </w:r>
      <w:r w:rsidRPr="008F2DDA">
        <w:rPr>
          <w:rFonts w:cs="Arial"/>
          <w:sz w:val="22"/>
          <w:szCs w:val="22"/>
          <w:u w:val="double"/>
        </w:rPr>
        <w:t>Unanticipated Problem Involving Risks to Subjects or Others</w:t>
      </w:r>
      <w:r w:rsidRPr="008F2DDA">
        <w:rPr>
          <w:sz w:val="22"/>
          <w:szCs w:val="22"/>
        </w:rPr>
        <w:t>:</w:t>
      </w:r>
    </w:p>
    <w:p w14:paraId="33A1C810" w14:textId="77777777" w:rsidR="0053738C" w:rsidRPr="008F2DDA" w:rsidRDefault="0053738C" w:rsidP="006C08EA">
      <w:pPr>
        <w:pStyle w:val="SOPLevel4"/>
        <w:spacing w:line="276" w:lineRule="auto"/>
        <w:ind w:left="2700" w:hanging="972"/>
        <w:rPr>
          <w:rFonts w:cs="Arial"/>
          <w:sz w:val="22"/>
          <w:szCs w:val="22"/>
        </w:rPr>
      </w:pPr>
      <w:r w:rsidRPr="008F2DDA">
        <w:rPr>
          <w:rFonts w:cs="Arial"/>
          <w:sz w:val="22"/>
          <w:szCs w:val="22"/>
        </w:rPr>
        <w:t>Execute the "Prepare Letter" activity and modify the appropriate letter as needed.</w:t>
      </w:r>
    </w:p>
    <w:p w14:paraId="6084CABA" w14:textId="77777777" w:rsidR="0053738C" w:rsidRPr="008F2DDA" w:rsidRDefault="0053738C" w:rsidP="006C08EA">
      <w:pPr>
        <w:pStyle w:val="SOPLevel4"/>
        <w:spacing w:line="276" w:lineRule="auto"/>
        <w:ind w:left="2700" w:hanging="972"/>
        <w:rPr>
          <w:rFonts w:cs="Arial"/>
          <w:sz w:val="22"/>
          <w:szCs w:val="22"/>
        </w:rPr>
      </w:pPr>
      <w:r w:rsidRPr="008F2DDA">
        <w:rPr>
          <w:rFonts w:cs="Arial"/>
          <w:sz w:val="22"/>
          <w:szCs w:val="22"/>
        </w:rPr>
        <w:t>Execute the "Send Letter" activity.</w:t>
      </w:r>
    </w:p>
    <w:p w14:paraId="61623542" w14:textId="77777777" w:rsidR="0053738C" w:rsidRPr="008F2DDA" w:rsidRDefault="0053738C" w:rsidP="006C08EA">
      <w:pPr>
        <w:pStyle w:val="SOPLevel3"/>
        <w:tabs>
          <w:tab w:val="clear" w:pos="2142"/>
          <w:tab w:val="num" w:pos="1710"/>
        </w:tabs>
        <w:spacing w:line="276" w:lineRule="auto"/>
        <w:ind w:left="1710" w:hanging="810"/>
        <w:rPr>
          <w:sz w:val="22"/>
          <w:szCs w:val="22"/>
        </w:rPr>
      </w:pPr>
      <w:r w:rsidRPr="008F2DDA">
        <w:rPr>
          <w:sz w:val="22"/>
          <w:szCs w:val="22"/>
        </w:rPr>
        <w:t>If the determination was</w:t>
      </w:r>
      <w:r w:rsidRPr="008F2DDA">
        <w:rPr>
          <w:rFonts w:cs="Arial"/>
          <w:sz w:val="22"/>
          <w:szCs w:val="22"/>
          <w:u w:val="double"/>
        </w:rPr>
        <w:t xml:space="preserve"> Suspension of IRB Approval:</w:t>
      </w:r>
    </w:p>
    <w:p w14:paraId="0FA21034" w14:textId="77777777" w:rsidR="0053738C" w:rsidRPr="004B1489" w:rsidRDefault="0053738C" w:rsidP="006C08EA">
      <w:pPr>
        <w:pStyle w:val="SOPLevel4"/>
        <w:spacing w:line="276" w:lineRule="auto"/>
        <w:ind w:left="2700" w:hanging="972"/>
        <w:rPr>
          <w:rFonts w:cs="Arial"/>
          <w:sz w:val="22"/>
          <w:szCs w:val="22"/>
        </w:rPr>
      </w:pPr>
      <w:r w:rsidRPr="008F2DDA">
        <w:rPr>
          <w:rFonts w:cs="Arial"/>
          <w:sz w:val="22"/>
          <w:szCs w:val="22"/>
        </w:rPr>
        <w:t>Execute the “Suspend” activity in the study workspace.</w:t>
      </w:r>
    </w:p>
    <w:p w14:paraId="57544B98" w14:textId="77777777" w:rsidR="0053738C" w:rsidRPr="008F2DDA" w:rsidRDefault="0053738C" w:rsidP="006C08EA">
      <w:pPr>
        <w:pStyle w:val="SOPLevel4"/>
        <w:spacing w:line="276" w:lineRule="auto"/>
        <w:ind w:left="2700" w:hanging="972"/>
        <w:rPr>
          <w:rFonts w:cs="Arial"/>
          <w:sz w:val="22"/>
          <w:szCs w:val="22"/>
        </w:rPr>
      </w:pPr>
      <w:r w:rsidRPr="008F2DDA">
        <w:rPr>
          <w:rFonts w:cs="Arial"/>
          <w:sz w:val="22"/>
          <w:szCs w:val="22"/>
        </w:rPr>
        <w:t>Execute the “Prepare Letter” activity in the study workspace and modify the letter as needed.</w:t>
      </w:r>
    </w:p>
    <w:p w14:paraId="57E4E29B" w14:textId="77777777" w:rsidR="0053738C" w:rsidRPr="008F2DDA" w:rsidRDefault="0053738C" w:rsidP="006C08EA">
      <w:pPr>
        <w:pStyle w:val="SOPLevel4"/>
        <w:spacing w:line="276" w:lineRule="auto"/>
        <w:ind w:left="2700" w:hanging="972"/>
        <w:rPr>
          <w:rFonts w:cs="Arial"/>
          <w:sz w:val="22"/>
          <w:szCs w:val="22"/>
        </w:rPr>
      </w:pPr>
      <w:r w:rsidRPr="008F2DDA">
        <w:rPr>
          <w:rFonts w:cs="Arial"/>
          <w:sz w:val="22"/>
          <w:szCs w:val="22"/>
        </w:rPr>
        <w:t>Execute the “Send Letter” activity.</w:t>
      </w:r>
    </w:p>
    <w:p w14:paraId="02D62CBA" w14:textId="77777777" w:rsidR="0053738C" w:rsidRPr="008F2DDA" w:rsidRDefault="0053738C" w:rsidP="006C08EA">
      <w:pPr>
        <w:pStyle w:val="SOPLevel3"/>
        <w:tabs>
          <w:tab w:val="clear" w:pos="2142"/>
          <w:tab w:val="num" w:pos="1710"/>
        </w:tabs>
        <w:spacing w:line="276" w:lineRule="auto"/>
        <w:ind w:left="1710" w:hanging="810"/>
        <w:rPr>
          <w:sz w:val="22"/>
          <w:szCs w:val="22"/>
        </w:rPr>
      </w:pPr>
      <w:r w:rsidRPr="008F2DDA">
        <w:rPr>
          <w:sz w:val="22"/>
          <w:szCs w:val="22"/>
        </w:rPr>
        <w:t>If the determination was</w:t>
      </w:r>
      <w:r w:rsidRPr="008F2DDA">
        <w:rPr>
          <w:rFonts w:cs="Arial"/>
          <w:sz w:val="22"/>
          <w:szCs w:val="22"/>
          <w:u w:val="double"/>
        </w:rPr>
        <w:t xml:space="preserve"> Termination of IRB Approval:</w:t>
      </w:r>
    </w:p>
    <w:p w14:paraId="6D7E9BEE" w14:textId="77777777" w:rsidR="0053738C" w:rsidRPr="008F2DDA" w:rsidRDefault="0053738C" w:rsidP="006C08EA">
      <w:pPr>
        <w:pStyle w:val="SOPLevel4"/>
        <w:spacing w:line="276" w:lineRule="auto"/>
        <w:ind w:left="2700" w:hanging="972"/>
        <w:rPr>
          <w:rFonts w:cs="Arial"/>
          <w:sz w:val="22"/>
          <w:szCs w:val="22"/>
        </w:rPr>
      </w:pPr>
      <w:r w:rsidRPr="008F2DDA">
        <w:rPr>
          <w:rFonts w:cs="Arial"/>
          <w:sz w:val="22"/>
          <w:szCs w:val="22"/>
        </w:rPr>
        <w:t>Execute the “Terminate” activity in the study workspace.</w:t>
      </w:r>
    </w:p>
    <w:p w14:paraId="2D30FACA" w14:textId="77777777" w:rsidR="0053738C" w:rsidRPr="008F2DDA" w:rsidRDefault="0053738C" w:rsidP="006C08EA">
      <w:pPr>
        <w:pStyle w:val="SOPLevel4"/>
        <w:spacing w:line="276" w:lineRule="auto"/>
        <w:ind w:left="2700" w:hanging="972"/>
        <w:rPr>
          <w:rFonts w:cs="Arial"/>
          <w:sz w:val="22"/>
          <w:szCs w:val="22"/>
        </w:rPr>
      </w:pPr>
      <w:r w:rsidRPr="008F2DDA">
        <w:rPr>
          <w:rFonts w:cs="Arial"/>
          <w:sz w:val="22"/>
          <w:szCs w:val="22"/>
        </w:rPr>
        <w:t>Execute the “Prepare Letter” activity in the study workspace and modify the letter as needed.</w:t>
      </w:r>
    </w:p>
    <w:p w14:paraId="4B11F591" w14:textId="77777777" w:rsidR="0053738C" w:rsidRPr="008F2DDA" w:rsidRDefault="0053738C" w:rsidP="006C08EA">
      <w:pPr>
        <w:pStyle w:val="SOPLevel4"/>
        <w:spacing w:line="276" w:lineRule="auto"/>
        <w:ind w:left="2700" w:hanging="972"/>
        <w:rPr>
          <w:rFonts w:cs="Arial"/>
          <w:sz w:val="22"/>
          <w:szCs w:val="22"/>
        </w:rPr>
      </w:pPr>
      <w:r w:rsidRPr="008F2DDA">
        <w:rPr>
          <w:rFonts w:cs="Arial"/>
          <w:sz w:val="22"/>
          <w:szCs w:val="22"/>
        </w:rPr>
        <w:t>Execute the “Send Letter” activity.</w:t>
      </w:r>
    </w:p>
    <w:p w14:paraId="27CD8330" w14:textId="3BE1E900" w:rsidR="007F29E2" w:rsidRPr="008F2DDA" w:rsidRDefault="007F29E2" w:rsidP="008F2DDA">
      <w:pPr>
        <w:pStyle w:val="SOPLevel2"/>
        <w:ind w:left="576" w:hanging="216"/>
        <w:rPr>
          <w:sz w:val="22"/>
          <w:szCs w:val="28"/>
        </w:rPr>
      </w:pPr>
      <w:r w:rsidRPr="008F2DDA">
        <w:rPr>
          <w:sz w:val="22"/>
          <w:szCs w:val="28"/>
        </w:rPr>
        <w:t>If reporting to an external agency is required:</w:t>
      </w:r>
    </w:p>
    <w:p w14:paraId="0B06A1E2" w14:textId="4A78CBC1" w:rsidR="0053738C" w:rsidRPr="008F2DDA" w:rsidRDefault="0053738C" w:rsidP="006C08EA">
      <w:pPr>
        <w:pStyle w:val="SOPLevel3"/>
        <w:tabs>
          <w:tab w:val="clear" w:pos="2142"/>
          <w:tab w:val="num" w:pos="1710"/>
        </w:tabs>
        <w:spacing w:line="276" w:lineRule="auto"/>
        <w:ind w:left="1710" w:hanging="810"/>
        <w:rPr>
          <w:sz w:val="22"/>
          <w:szCs w:val="22"/>
        </w:rPr>
      </w:pPr>
      <w:r w:rsidRPr="008F2DDA">
        <w:rPr>
          <w:sz w:val="22"/>
          <w:szCs w:val="22"/>
        </w:rPr>
        <w:t xml:space="preserve">When reporting to OHRP only, complete the </w:t>
      </w:r>
      <w:r w:rsidRPr="008F2DDA">
        <w:rPr>
          <w:i/>
          <w:iCs/>
          <w:sz w:val="22"/>
          <w:szCs w:val="22"/>
        </w:rPr>
        <w:t>OHRP Incident Report Form</w:t>
      </w:r>
      <w:r w:rsidRPr="008F2DDA">
        <w:rPr>
          <w:rStyle w:val="EndnoteReference"/>
          <w:i/>
          <w:iCs/>
          <w:sz w:val="22"/>
          <w:szCs w:val="22"/>
        </w:rPr>
        <w:endnoteReference w:id="1"/>
      </w:r>
      <w:r w:rsidRPr="008F2DDA">
        <w:rPr>
          <w:sz w:val="22"/>
          <w:szCs w:val="22"/>
        </w:rPr>
        <w:t>.</w:t>
      </w:r>
    </w:p>
    <w:p w14:paraId="187D054A" w14:textId="17FE4D7F" w:rsidR="0053738C" w:rsidRPr="008F2DDA" w:rsidRDefault="0053738C" w:rsidP="006C08EA">
      <w:pPr>
        <w:pStyle w:val="SOPLevel3"/>
        <w:tabs>
          <w:tab w:val="clear" w:pos="2142"/>
          <w:tab w:val="num" w:pos="1710"/>
        </w:tabs>
        <w:spacing w:line="276" w:lineRule="auto"/>
        <w:ind w:left="1710" w:hanging="810"/>
        <w:rPr>
          <w:sz w:val="22"/>
          <w:szCs w:val="22"/>
        </w:rPr>
      </w:pPr>
      <w:r w:rsidRPr="008F2DDA">
        <w:rPr>
          <w:sz w:val="22"/>
          <w:szCs w:val="22"/>
        </w:rPr>
        <w:t>If reporting to both OHRP and any other outside agency concurrently, utilize the OHRP Incident Report Form email confirmation and HRP-520a – LETTER – External Report – OHRP and Other Agencies</w:t>
      </w:r>
      <w:r w:rsidR="00614374">
        <w:rPr>
          <w:sz w:val="22"/>
          <w:szCs w:val="22"/>
        </w:rPr>
        <w:t>.</w:t>
      </w:r>
    </w:p>
    <w:p w14:paraId="0F40A57A" w14:textId="3D842831" w:rsidR="0053738C" w:rsidRPr="008F2DDA" w:rsidRDefault="0053738C" w:rsidP="006C08EA">
      <w:pPr>
        <w:pStyle w:val="SOPLevel3"/>
        <w:tabs>
          <w:tab w:val="clear" w:pos="2142"/>
          <w:tab w:val="num" w:pos="1710"/>
        </w:tabs>
        <w:spacing w:line="276" w:lineRule="auto"/>
        <w:ind w:left="1710" w:hanging="810"/>
        <w:rPr>
          <w:sz w:val="22"/>
          <w:szCs w:val="22"/>
        </w:rPr>
      </w:pPr>
      <w:r w:rsidRPr="008F2DDA">
        <w:rPr>
          <w:sz w:val="22"/>
          <w:szCs w:val="22"/>
        </w:rPr>
        <w:t>If reporting to other outside agencies NOT including O</w:t>
      </w:r>
      <w:r w:rsidR="002838D9" w:rsidRPr="008F2DDA">
        <w:rPr>
          <w:sz w:val="22"/>
          <w:szCs w:val="22"/>
        </w:rPr>
        <w:t>HR</w:t>
      </w:r>
      <w:r w:rsidRPr="008F2DDA">
        <w:rPr>
          <w:sz w:val="22"/>
          <w:szCs w:val="22"/>
        </w:rPr>
        <w:t>P, complete HRP-520 – LETTER – External Report NOT Including OHRP.</w:t>
      </w:r>
    </w:p>
    <w:p w14:paraId="46FE9BD2" w14:textId="4CEBC004" w:rsidR="00326316" w:rsidRPr="0053738C" w:rsidRDefault="00326316" w:rsidP="008865E3">
      <w:pPr>
        <w:pStyle w:val="SOPLevel1"/>
        <w:spacing w:line="276" w:lineRule="auto"/>
        <w:rPr>
          <w:rFonts w:cs="Arial"/>
          <w:sz w:val="22"/>
          <w:szCs w:val="22"/>
        </w:rPr>
      </w:pPr>
      <w:r w:rsidRPr="0053738C">
        <w:rPr>
          <w:rFonts w:cs="Arial"/>
          <w:sz w:val="22"/>
          <w:szCs w:val="22"/>
        </w:rPr>
        <w:t>MATERIALS</w:t>
      </w:r>
    </w:p>
    <w:p w14:paraId="5C4CF12A" w14:textId="05D59CD5" w:rsidR="0004230B" w:rsidRPr="0053738C" w:rsidRDefault="0004230B" w:rsidP="006C08EA">
      <w:pPr>
        <w:pStyle w:val="SOPLevel2"/>
        <w:spacing w:line="276" w:lineRule="auto"/>
        <w:rPr>
          <w:rFonts w:cs="Arial"/>
          <w:sz w:val="22"/>
          <w:szCs w:val="22"/>
        </w:rPr>
      </w:pPr>
      <w:r w:rsidRPr="0053738C">
        <w:rPr>
          <w:rFonts w:cs="Arial"/>
          <w:sz w:val="22"/>
          <w:szCs w:val="22"/>
        </w:rPr>
        <w:t>HRP-031 - SOP - Non-Committee Review Preparation</w:t>
      </w:r>
    </w:p>
    <w:p w14:paraId="5E26D743" w14:textId="51490B49" w:rsidR="0004230B" w:rsidRPr="0053738C" w:rsidRDefault="0004230B" w:rsidP="006C08EA">
      <w:pPr>
        <w:pStyle w:val="SOPLevel2"/>
        <w:spacing w:line="276" w:lineRule="auto"/>
        <w:rPr>
          <w:rFonts w:cs="Arial"/>
          <w:sz w:val="22"/>
          <w:szCs w:val="22"/>
        </w:rPr>
      </w:pPr>
      <w:r w:rsidRPr="0053738C">
        <w:rPr>
          <w:rFonts w:cs="Arial"/>
          <w:sz w:val="22"/>
          <w:szCs w:val="22"/>
        </w:rPr>
        <w:t>HRP-303 - WORKSHEET - Communication of Review Results</w:t>
      </w:r>
    </w:p>
    <w:p w14:paraId="131D028E" w14:textId="4DFCD476" w:rsidR="0004230B" w:rsidRPr="0053738C" w:rsidRDefault="0004230B" w:rsidP="006C08EA">
      <w:pPr>
        <w:pStyle w:val="SOPLevel2"/>
        <w:spacing w:line="276" w:lineRule="auto"/>
        <w:rPr>
          <w:rFonts w:cs="Arial"/>
          <w:sz w:val="22"/>
          <w:szCs w:val="22"/>
        </w:rPr>
      </w:pPr>
      <w:r w:rsidRPr="0053738C">
        <w:rPr>
          <w:rFonts w:cs="Arial"/>
          <w:sz w:val="22"/>
          <w:szCs w:val="22"/>
        </w:rPr>
        <w:t>HRP-520 - LETTER - External Report NOT Including OHRP</w:t>
      </w:r>
    </w:p>
    <w:p w14:paraId="5AF7B390" w14:textId="00559D8A" w:rsidR="0004230B" w:rsidRPr="0053738C" w:rsidRDefault="0004230B" w:rsidP="006C08EA">
      <w:pPr>
        <w:pStyle w:val="SOPLevel2"/>
        <w:spacing w:line="276" w:lineRule="auto"/>
        <w:rPr>
          <w:rFonts w:cs="Arial"/>
          <w:sz w:val="22"/>
          <w:szCs w:val="22"/>
        </w:rPr>
      </w:pPr>
      <w:r w:rsidRPr="0053738C">
        <w:rPr>
          <w:rFonts w:cs="Arial"/>
          <w:sz w:val="22"/>
          <w:szCs w:val="22"/>
        </w:rPr>
        <w:t xml:space="preserve">HRP-520a </w:t>
      </w:r>
      <w:r w:rsidR="00744B04" w:rsidRPr="0053738C">
        <w:rPr>
          <w:rFonts w:cs="Arial"/>
          <w:sz w:val="22"/>
          <w:szCs w:val="22"/>
        </w:rPr>
        <w:t>-</w:t>
      </w:r>
      <w:r w:rsidRPr="0053738C">
        <w:rPr>
          <w:rFonts w:cs="Arial"/>
          <w:sz w:val="22"/>
          <w:szCs w:val="22"/>
        </w:rPr>
        <w:t xml:space="preserve"> LETTER </w:t>
      </w:r>
      <w:r w:rsidR="00744B04" w:rsidRPr="0053738C">
        <w:rPr>
          <w:rFonts w:cs="Arial"/>
          <w:sz w:val="22"/>
          <w:szCs w:val="22"/>
        </w:rPr>
        <w:t>-</w:t>
      </w:r>
      <w:r w:rsidRPr="0053738C">
        <w:rPr>
          <w:rFonts w:cs="Arial"/>
          <w:sz w:val="22"/>
          <w:szCs w:val="22"/>
        </w:rPr>
        <w:t xml:space="preserve"> External Report OHRP and Other Agencies</w:t>
      </w:r>
    </w:p>
    <w:p w14:paraId="67BFD6E7" w14:textId="08760324" w:rsidR="00326316" w:rsidRPr="0053738C" w:rsidRDefault="00326316" w:rsidP="008865E3">
      <w:pPr>
        <w:pStyle w:val="SOPLevel1"/>
        <w:spacing w:line="276" w:lineRule="auto"/>
        <w:rPr>
          <w:rFonts w:cs="Arial"/>
          <w:sz w:val="22"/>
          <w:szCs w:val="22"/>
        </w:rPr>
      </w:pPr>
      <w:r w:rsidRPr="0053738C">
        <w:rPr>
          <w:rFonts w:cs="Arial"/>
          <w:sz w:val="22"/>
          <w:szCs w:val="22"/>
        </w:rPr>
        <w:t>REFERENCES</w:t>
      </w:r>
    </w:p>
    <w:p w14:paraId="2292AB62" w14:textId="6888744C" w:rsidR="0004230B" w:rsidRPr="0053738C" w:rsidRDefault="0004230B" w:rsidP="008865E3">
      <w:pPr>
        <w:pStyle w:val="SOPLevel2"/>
        <w:spacing w:line="276" w:lineRule="auto"/>
        <w:rPr>
          <w:rFonts w:cs="Arial"/>
          <w:sz w:val="22"/>
          <w:szCs w:val="22"/>
        </w:rPr>
      </w:pPr>
      <w:r w:rsidRPr="0053738C">
        <w:rPr>
          <w:rFonts w:cs="Arial"/>
          <w:sz w:val="22"/>
          <w:szCs w:val="22"/>
        </w:rPr>
        <w:t xml:space="preserve">45 CFR §46.103(b)(4)(i), </w:t>
      </w:r>
      <w:r w:rsidR="001525DC">
        <w:rPr>
          <w:rFonts w:cs="Arial"/>
          <w:sz w:val="22"/>
          <w:szCs w:val="22"/>
        </w:rPr>
        <w:t xml:space="preserve">45 CFR </w:t>
      </w:r>
      <w:r w:rsidR="001525DC" w:rsidRPr="0053738C">
        <w:rPr>
          <w:rFonts w:cs="Arial"/>
          <w:sz w:val="22"/>
          <w:szCs w:val="22"/>
        </w:rPr>
        <w:t>§</w:t>
      </w:r>
      <w:r w:rsidR="001525DC">
        <w:rPr>
          <w:rFonts w:cs="Arial"/>
          <w:sz w:val="22"/>
          <w:szCs w:val="22"/>
        </w:rPr>
        <w:t xml:space="preserve">46.109(d), </w:t>
      </w:r>
      <w:r w:rsidRPr="0053738C">
        <w:rPr>
          <w:rFonts w:cs="Arial"/>
          <w:sz w:val="22"/>
          <w:szCs w:val="22"/>
        </w:rPr>
        <w:t>45 CFR §46.207, 45 CFR §46.30</w:t>
      </w:r>
      <w:r w:rsidR="007D68DE">
        <w:rPr>
          <w:rFonts w:cs="Arial"/>
          <w:sz w:val="22"/>
          <w:szCs w:val="22"/>
        </w:rPr>
        <w:t>5(c)</w:t>
      </w:r>
      <w:r w:rsidRPr="0053738C">
        <w:rPr>
          <w:rFonts w:cs="Arial"/>
          <w:sz w:val="22"/>
          <w:szCs w:val="22"/>
        </w:rPr>
        <w:t>, 45 CFR §46.306(</w:t>
      </w:r>
      <w:r w:rsidR="00ED6B63">
        <w:rPr>
          <w:rFonts w:cs="Arial"/>
          <w:sz w:val="22"/>
          <w:szCs w:val="22"/>
        </w:rPr>
        <w:t>a</w:t>
      </w:r>
      <w:r w:rsidRPr="0053738C">
        <w:rPr>
          <w:rFonts w:cs="Arial"/>
          <w:sz w:val="22"/>
          <w:szCs w:val="22"/>
        </w:rPr>
        <w:t>)(</w:t>
      </w:r>
      <w:r w:rsidR="00ED6B63">
        <w:rPr>
          <w:rFonts w:cs="Arial"/>
          <w:sz w:val="22"/>
          <w:szCs w:val="22"/>
        </w:rPr>
        <w:t>1</w:t>
      </w:r>
      <w:r w:rsidRPr="0053738C">
        <w:rPr>
          <w:rFonts w:cs="Arial"/>
          <w:sz w:val="22"/>
          <w:szCs w:val="22"/>
        </w:rPr>
        <w:t>), 45 CFR §46.407, Informed Consent Requirements in Emergency Research (</w:t>
      </w:r>
      <w:r w:rsidR="009137FD">
        <w:rPr>
          <w:rFonts w:cs="Arial"/>
          <w:sz w:val="22"/>
          <w:szCs w:val="22"/>
        </w:rPr>
        <w:t>OPRR Letter</w:t>
      </w:r>
      <w:r w:rsidRPr="0053738C">
        <w:rPr>
          <w:rFonts w:cs="Arial"/>
          <w:sz w:val="22"/>
          <w:szCs w:val="22"/>
        </w:rPr>
        <w:t>, 1996)</w:t>
      </w:r>
    </w:p>
    <w:p w14:paraId="6FC59E8C" w14:textId="1206A3C4" w:rsidR="0004230B" w:rsidRPr="0053738C" w:rsidRDefault="0004230B" w:rsidP="008865E3">
      <w:pPr>
        <w:pStyle w:val="SOPLevel2"/>
        <w:spacing w:line="276" w:lineRule="auto"/>
        <w:rPr>
          <w:rFonts w:cs="Arial"/>
          <w:sz w:val="22"/>
          <w:szCs w:val="22"/>
        </w:rPr>
      </w:pPr>
      <w:r w:rsidRPr="0053738C">
        <w:rPr>
          <w:rFonts w:cs="Arial"/>
          <w:sz w:val="22"/>
          <w:szCs w:val="22"/>
        </w:rPr>
        <w:t xml:space="preserve">21 CFR §56.108(a)(1), </w:t>
      </w:r>
      <w:r w:rsidR="00532F27" w:rsidRPr="003E7D30">
        <w:rPr>
          <w:sz w:val="22"/>
          <w:szCs w:val="28"/>
        </w:rPr>
        <w:t xml:space="preserve">21 CFR §56.108(a)(2), </w:t>
      </w:r>
      <w:r w:rsidR="001525DC">
        <w:rPr>
          <w:rFonts w:cs="Arial"/>
          <w:sz w:val="22"/>
          <w:szCs w:val="22"/>
        </w:rPr>
        <w:t xml:space="preserve">21 CFR </w:t>
      </w:r>
      <w:r w:rsidR="001525DC" w:rsidRPr="0053738C">
        <w:rPr>
          <w:rFonts w:cs="Arial"/>
          <w:sz w:val="22"/>
          <w:szCs w:val="22"/>
        </w:rPr>
        <w:t>§</w:t>
      </w:r>
      <w:r w:rsidR="001525DC">
        <w:rPr>
          <w:rFonts w:cs="Arial"/>
          <w:sz w:val="22"/>
          <w:szCs w:val="22"/>
        </w:rPr>
        <w:t xml:space="preserve">109(e), </w:t>
      </w:r>
      <w:r w:rsidRPr="0053738C">
        <w:rPr>
          <w:rFonts w:cs="Arial"/>
          <w:sz w:val="22"/>
          <w:szCs w:val="22"/>
        </w:rPr>
        <w:t>21 CFR §50.24(e), 21 CFR §50.54(b), 21 CFR §812.66</w:t>
      </w:r>
    </w:p>
    <w:bookmarkEnd w:id="0"/>
    <w:p w14:paraId="47C4A902" w14:textId="4BBB1A21" w:rsidR="002B681F" w:rsidRPr="0053738C" w:rsidRDefault="0004230B" w:rsidP="008865E3">
      <w:pPr>
        <w:pStyle w:val="SOPLevel2"/>
        <w:spacing w:line="276" w:lineRule="auto"/>
        <w:rPr>
          <w:rFonts w:cs="Arial"/>
          <w:sz w:val="22"/>
          <w:szCs w:val="22"/>
        </w:rPr>
      </w:pPr>
      <w:r w:rsidRPr="0053738C">
        <w:rPr>
          <w:rFonts w:cs="Arial"/>
          <w:sz w:val="22"/>
          <w:szCs w:val="22"/>
        </w:rPr>
        <w:lastRenderedPageBreak/>
        <w:t>AAHRPP elements I.1.A, I.5.D, I-9, II.1.D, II.1.E, II.2.A, II.2.G, II.2.H, II.2.E-II.2.E.2, II.2.F-II.2.F.3, III.2.D</w:t>
      </w:r>
    </w:p>
    <w:p w14:paraId="2E4584F3" w14:textId="08481D3F" w:rsidR="0004230B" w:rsidRPr="0034262A" w:rsidRDefault="0004230B" w:rsidP="0004230B">
      <w:pPr>
        <w:pStyle w:val="SOPLevel1"/>
        <w:numPr>
          <w:ilvl w:val="0"/>
          <w:numId w:val="0"/>
        </w:numPr>
        <w:ind w:left="360" w:hanging="360"/>
      </w:pPr>
    </w:p>
    <w:sectPr w:rsidR="0004230B" w:rsidRPr="0034262A" w:rsidSect="0054465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493D" w14:textId="77777777" w:rsidR="00F77718" w:rsidRDefault="00F77718" w:rsidP="00855EE6">
      <w:pPr>
        <w:spacing w:after="0" w:line="240" w:lineRule="auto"/>
      </w:pPr>
      <w:r>
        <w:separator/>
      </w:r>
    </w:p>
  </w:endnote>
  <w:endnote w:type="continuationSeparator" w:id="0">
    <w:p w14:paraId="754AE930" w14:textId="77777777" w:rsidR="00F77718" w:rsidRDefault="00F77718" w:rsidP="00855EE6">
      <w:pPr>
        <w:spacing w:after="0" w:line="240" w:lineRule="auto"/>
      </w:pPr>
      <w:r>
        <w:continuationSeparator/>
      </w:r>
    </w:p>
  </w:endnote>
  <w:endnote w:id="1">
    <w:p w14:paraId="3E18F8A3" w14:textId="5268FEEF" w:rsidR="0053738C" w:rsidRPr="00950C68" w:rsidRDefault="0053738C" w:rsidP="0053738C">
      <w:pPr>
        <w:pStyle w:val="EndnoteText"/>
        <w:rPr>
          <w:rFonts w:ascii="Arial" w:hAnsi="Arial" w:cs="Arial"/>
          <w:sz w:val="18"/>
          <w:szCs w:val="18"/>
        </w:rPr>
      </w:pPr>
      <w:r w:rsidRPr="00950C68">
        <w:rPr>
          <w:rStyle w:val="EndnoteReference"/>
          <w:rFonts w:ascii="Arial" w:hAnsi="Arial" w:cs="Arial"/>
          <w:sz w:val="18"/>
          <w:szCs w:val="18"/>
        </w:rPr>
        <w:endnoteRef/>
      </w:r>
      <w:r w:rsidRPr="00950C68">
        <w:rPr>
          <w:rFonts w:ascii="Arial" w:hAnsi="Arial" w:cs="Arial"/>
          <w:sz w:val="18"/>
          <w:szCs w:val="18"/>
        </w:rPr>
        <w:t xml:space="preserve"> </w:t>
      </w:r>
      <w:r w:rsidR="000D49E6" w:rsidRPr="00855A66">
        <w:rPr>
          <w:rFonts w:ascii="Arial" w:hAnsi="Arial" w:cs="Arial"/>
          <w:sz w:val="18"/>
          <w:szCs w:val="18"/>
          <w:u w:val="single"/>
        </w:rPr>
        <w:t>https://oashsps.my.site.com/ohrpwebforms/s/incident-web-form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32DAE" w:rsidRDefault="00915462" w:rsidP="00915462">
    <w:pPr>
      <w:pStyle w:val="Header"/>
      <w:jc w:val="center"/>
      <w:rPr>
        <w:rFonts w:ascii="Arial" w:hAnsi="Arial" w:cs="Arial"/>
        <w:sz w:val="18"/>
        <w:szCs w:val="18"/>
      </w:rPr>
    </w:pPr>
    <w:r w:rsidRPr="00932DAE">
      <w:rPr>
        <w:rFonts w:ascii="Arial" w:hAnsi="Arial" w:cs="Arial"/>
        <w:sz w:val="18"/>
        <w:szCs w:val="18"/>
      </w:rPr>
      <w:t xml:space="preserve">Page </w:t>
    </w:r>
    <w:r w:rsidRPr="00932DAE">
      <w:rPr>
        <w:rFonts w:ascii="Arial" w:hAnsi="Arial" w:cs="Arial"/>
        <w:b/>
        <w:bCs/>
        <w:sz w:val="18"/>
        <w:szCs w:val="18"/>
      </w:rPr>
      <w:fldChar w:fldCharType="begin"/>
    </w:r>
    <w:r w:rsidRPr="00932DAE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932DAE">
      <w:rPr>
        <w:rFonts w:ascii="Arial" w:hAnsi="Arial" w:cs="Arial"/>
        <w:b/>
        <w:bCs/>
        <w:sz w:val="18"/>
        <w:szCs w:val="18"/>
      </w:rPr>
      <w:fldChar w:fldCharType="separate"/>
    </w:r>
    <w:r w:rsidRPr="00932DAE">
      <w:rPr>
        <w:rFonts w:ascii="Arial" w:hAnsi="Arial" w:cs="Arial"/>
        <w:b/>
        <w:bCs/>
        <w:sz w:val="18"/>
        <w:szCs w:val="18"/>
      </w:rPr>
      <w:t>1</w:t>
    </w:r>
    <w:r w:rsidRPr="00932DAE">
      <w:rPr>
        <w:rFonts w:ascii="Arial" w:hAnsi="Arial" w:cs="Arial"/>
        <w:b/>
        <w:bCs/>
        <w:sz w:val="18"/>
        <w:szCs w:val="18"/>
      </w:rPr>
      <w:fldChar w:fldCharType="end"/>
    </w:r>
    <w:r w:rsidRPr="00932DAE">
      <w:rPr>
        <w:rFonts w:ascii="Arial" w:hAnsi="Arial" w:cs="Arial"/>
        <w:sz w:val="18"/>
        <w:szCs w:val="18"/>
      </w:rPr>
      <w:t xml:space="preserve"> of </w:t>
    </w:r>
    <w:r w:rsidRPr="00932DAE">
      <w:rPr>
        <w:rFonts w:ascii="Arial" w:hAnsi="Arial" w:cs="Arial"/>
        <w:b/>
        <w:bCs/>
        <w:sz w:val="18"/>
        <w:szCs w:val="18"/>
      </w:rPr>
      <w:fldChar w:fldCharType="begin"/>
    </w:r>
    <w:r w:rsidRPr="00932DAE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932DAE">
      <w:rPr>
        <w:rFonts w:ascii="Arial" w:hAnsi="Arial" w:cs="Arial"/>
        <w:b/>
        <w:bCs/>
        <w:sz w:val="18"/>
        <w:szCs w:val="18"/>
      </w:rPr>
      <w:fldChar w:fldCharType="separate"/>
    </w:r>
    <w:r w:rsidRPr="00932DAE">
      <w:rPr>
        <w:rFonts w:ascii="Arial" w:hAnsi="Arial" w:cs="Arial"/>
        <w:b/>
        <w:bCs/>
        <w:sz w:val="18"/>
        <w:szCs w:val="18"/>
      </w:rPr>
      <w:t>1</w:t>
    </w:r>
    <w:r w:rsidRPr="00932DAE">
      <w:rPr>
        <w:rFonts w:ascii="Arial" w:hAnsi="Arial" w:cs="Arial"/>
        <w:b/>
        <w:bCs/>
        <w:sz w:val="18"/>
        <w:szCs w:val="18"/>
      </w:rPr>
      <w:fldChar w:fldCharType="end"/>
    </w:r>
  </w:p>
  <w:p w14:paraId="12A573C9" w14:textId="64427F19" w:rsidR="00BC7F9E" w:rsidRPr="00932DAE" w:rsidRDefault="00BC7F9E" w:rsidP="00BC7F9E">
    <w:pPr>
      <w:pStyle w:val="Footer"/>
      <w:jc w:val="center"/>
      <w:rPr>
        <w:rFonts w:ascii="Arial" w:hAnsi="Arial" w:cs="Arial"/>
        <w:sz w:val="18"/>
        <w:szCs w:val="18"/>
      </w:rPr>
    </w:pPr>
    <w:r w:rsidRPr="00932DAE">
      <w:rPr>
        <w:rFonts w:ascii="Arial" w:hAnsi="Arial" w:cs="Arial"/>
        <w:b/>
        <w:bCs/>
        <w:sz w:val="18"/>
        <w:szCs w:val="18"/>
      </w:rPr>
      <w:t>Huron HRPP Toolkit</w:t>
    </w:r>
    <w:r w:rsidR="00707447" w:rsidRPr="00932DAE">
      <w:rPr>
        <w:rFonts w:ascii="Arial" w:hAnsi="Arial" w:cs="Arial"/>
        <w:b/>
        <w:bCs/>
        <w:sz w:val="18"/>
        <w:szCs w:val="18"/>
      </w:rPr>
      <w:t xml:space="preserve"> </w:t>
    </w:r>
    <w:r w:rsidRPr="00932DAE">
      <w:rPr>
        <w:rFonts w:ascii="Arial" w:hAnsi="Arial" w:cs="Arial"/>
        <w:b/>
        <w:bCs/>
        <w:sz w:val="18"/>
        <w:szCs w:val="18"/>
      </w:rPr>
      <w:t>©</w:t>
    </w:r>
    <w:r w:rsidR="00BD01A9" w:rsidRPr="00932DAE">
      <w:rPr>
        <w:rFonts w:ascii="Arial" w:hAnsi="Arial" w:cs="Arial"/>
        <w:b/>
        <w:bCs/>
        <w:sz w:val="18"/>
        <w:szCs w:val="18"/>
      </w:rPr>
      <w:t xml:space="preserve"> </w:t>
    </w:r>
    <w:r w:rsidRPr="00932DAE">
      <w:rPr>
        <w:rFonts w:ascii="Arial" w:hAnsi="Arial" w:cs="Arial"/>
        <w:b/>
        <w:bCs/>
        <w:sz w:val="18"/>
        <w:szCs w:val="18"/>
      </w:rPr>
      <w:t xml:space="preserve">2025 </w:t>
    </w:r>
    <w:r w:rsidR="00707447" w:rsidRPr="00932DAE">
      <w:rPr>
        <w:rFonts w:ascii="Arial" w:hAnsi="Arial" w:cs="Arial"/>
        <w:b/>
        <w:bCs/>
        <w:sz w:val="18"/>
        <w:szCs w:val="18"/>
      </w:rPr>
      <w:t xml:space="preserve">Version </w:t>
    </w:r>
    <w:r w:rsidRPr="00932DAE">
      <w:rPr>
        <w:rFonts w:ascii="Arial" w:hAnsi="Arial" w:cs="Arial"/>
        <w:b/>
        <w:bCs/>
        <w:sz w:val="18"/>
        <w:szCs w:val="18"/>
      </w:rPr>
      <w:t xml:space="preserve">5.4 </w:t>
    </w:r>
    <w:r w:rsidRPr="00932DAE">
      <w:rPr>
        <w:rFonts w:ascii="Arial" w:hAnsi="Arial" w:cs="Arial"/>
        <w:sz w:val="18"/>
        <w:szCs w:val="18"/>
      </w:rPr>
      <w:t>subject to Huron's Toolkit terms and conditions.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99C2" w14:textId="77777777" w:rsidR="00F1679E" w:rsidRPr="00932DAE" w:rsidRDefault="00F1679E" w:rsidP="00F1679E">
    <w:pPr>
      <w:pStyle w:val="Header"/>
      <w:jc w:val="center"/>
      <w:rPr>
        <w:rFonts w:ascii="Arial" w:hAnsi="Arial" w:cs="Arial"/>
        <w:sz w:val="18"/>
        <w:szCs w:val="18"/>
      </w:rPr>
    </w:pPr>
    <w:r w:rsidRPr="00932DAE">
      <w:rPr>
        <w:rFonts w:ascii="Arial" w:hAnsi="Arial" w:cs="Arial"/>
        <w:sz w:val="18"/>
        <w:szCs w:val="18"/>
      </w:rPr>
      <w:t xml:space="preserve">Page </w:t>
    </w:r>
    <w:r w:rsidRPr="00932DAE">
      <w:rPr>
        <w:rFonts w:ascii="Arial" w:hAnsi="Arial" w:cs="Arial"/>
        <w:b/>
        <w:bCs/>
        <w:sz w:val="18"/>
        <w:szCs w:val="18"/>
      </w:rPr>
      <w:fldChar w:fldCharType="begin"/>
    </w:r>
    <w:r w:rsidRPr="00932DAE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932DAE">
      <w:rPr>
        <w:rFonts w:ascii="Arial" w:hAnsi="Arial" w:cs="Arial"/>
        <w:b/>
        <w:bCs/>
        <w:sz w:val="18"/>
        <w:szCs w:val="18"/>
      </w:rPr>
      <w:fldChar w:fldCharType="separate"/>
    </w:r>
    <w:r w:rsidRPr="00932DAE">
      <w:rPr>
        <w:rFonts w:ascii="Arial" w:hAnsi="Arial" w:cs="Arial"/>
        <w:b/>
        <w:bCs/>
        <w:sz w:val="18"/>
        <w:szCs w:val="18"/>
      </w:rPr>
      <w:t>2</w:t>
    </w:r>
    <w:r w:rsidRPr="00932DAE">
      <w:rPr>
        <w:rFonts w:ascii="Arial" w:hAnsi="Arial" w:cs="Arial"/>
        <w:b/>
        <w:bCs/>
        <w:sz w:val="18"/>
        <w:szCs w:val="18"/>
      </w:rPr>
      <w:fldChar w:fldCharType="end"/>
    </w:r>
    <w:r w:rsidRPr="00932DAE">
      <w:rPr>
        <w:rFonts w:ascii="Arial" w:hAnsi="Arial" w:cs="Arial"/>
        <w:sz w:val="18"/>
        <w:szCs w:val="18"/>
      </w:rPr>
      <w:t xml:space="preserve"> of </w:t>
    </w:r>
    <w:r w:rsidRPr="00932DAE">
      <w:rPr>
        <w:rFonts w:ascii="Arial" w:hAnsi="Arial" w:cs="Arial"/>
        <w:b/>
        <w:bCs/>
        <w:sz w:val="18"/>
        <w:szCs w:val="18"/>
      </w:rPr>
      <w:fldChar w:fldCharType="begin"/>
    </w:r>
    <w:r w:rsidRPr="00932DAE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932DAE">
      <w:rPr>
        <w:rFonts w:ascii="Arial" w:hAnsi="Arial" w:cs="Arial"/>
        <w:b/>
        <w:bCs/>
        <w:sz w:val="18"/>
        <w:szCs w:val="18"/>
      </w:rPr>
      <w:fldChar w:fldCharType="separate"/>
    </w:r>
    <w:r w:rsidRPr="00932DAE">
      <w:rPr>
        <w:rFonts w:ascii="Arial" w:hAnsi="Arial" w:cs="Arial"/>
        <w:b/>
        <w:bCs/>
        <w:sz w:val="18"/>
        <w:szCs w:val="18"/>
      </w:rPr>
      <w:t>6</w:t>
    </w:r>
    <w:r w:rsidRPr="00932DAE">
      <w:rPr>
        <w:rFonts w:ascii="Arial" w:hAnsi="Arial" w:cs="Arial"/>
        <w:b/>
        <w:bCs/>
        <w:sz w:val="18"/>
        <w:szCs w:val="18"/>
      </w:rPr>
      <w:fldChar w:fldCharType="end"/>
    </w:r>
  </w:p>
  <w:p w14:paraId="77FB0278" w14:textId="2B91BEE2" w:rsidR="00BC7F9E" w:rsidRPr="00932DAE" w:rsidRDefault="00BC7F9E" w:rsidP="00BC7F9E">
    <w:pPr>
      <w:pStyle w:val="Footer"/>
      <w:jc w:val="center"/>
      <w:rPr>
        <w:rFonts w:ascii="Arial" w:hAnsi="Arial" w:cs="Arial"/>
        <w:sz w:val="18"/>
        <w:szCs w:val="18"/>
      </w:rPr>
    </w:pPr>
    <w:r w:rsidRPr="00932DAE">
      <w:rPr>
        <w:rFonts w:ascii="Arial" w:hAnsi="Arial" w:cs="Arial"/>
        <w:b/>
        <w:bCs/>
        <w:sz w:val="18"/>
        <w:szCs w:val="18"/>
      </w:rPr>
      <w:t>Huron HRPP Toolkit</w:t>
    </w:r>
    <w:r w:rsidR="00707447" w:rsidRPr="00932DAE">
      <w:rPr>
        <w:rFonts w:ascii="Arial" w:hAnsi="Arial" w:cs="Arial"/>
        <w:b/>
        <w:bCs/>
        <w:sz w:val="18"/>
        <w:szCs w:val="18"/>
      </w:rPr>
      <w:t xml:space="preserve"> </w:t>
    </w:r>
    <w:r w:rsidRPr="00932DAE">
      <w:rPr>
        <w:rFonts w:ascii="Arial" w:hAnsi="Arial" w:cs="Arial"/>
        <w:b/>
        <w:bCs/>
        <w:sz w:val="18"/>
        <w:szCs w:val="18"/>
      </w:rPr>
      <w:t>©</w:t>
    </w:r>
    <w:r w:rsidR="00BD01A9" w:rsidRPr="00932DAE">
      <w:rPr>
        <w:rFonts w:ascii="Arial" w:hAnsi="Arial" w:cs="Arial"/>
        <w:b/>
        <w:bCs/>
        <w:sz w:val="18"/>
        <w:szCs w:val="18"/>
      </w:rPr>
      <w:t xml:space="preserve"> </w:t>
    </w:r>
    <w:r w:rsidRPr="00932DAE">
      <w:rPr>
        <w:rFonts w:ascii="Arial" w:hAnsi="Arial" w:cs="Arial"/>
        <w:b/>
        <w:bCs/>
        <w:sz w:val="18"/>
        <w:szCs w:val="18"/>
      </w:rPr>
      <w:t xml:space="preserve">2025 </w:t>
    </w:r>
    <w:r w:rsidR="00707447" w:rsidRPr="00932DAE">
      <w:rPr>
        <w:rFonts w:ascii="Arial" w:hAnsi="Arial" w:cs="Arial"/>
        <w:b/>
        <w:bCs/>
        <w:sz w:val="18"/>
        <w:szCs w:val="18"/>
      </w:rPr>
      <w:t xml:space="preserve">Version </w:t>
    </w:r>
    <w:r w:rsidRPr="00932DAE">
      <w:rPr>
        <w:rFonts w:ascii="Arial" w:hAnsi="Arial" w:cs="Arial"/>
        <w:b/>
        <w:bCs/>
        <w:sz w:val="18"/>
        <w:szCs w:val="18"/>
      </w:rPr>
      <w:t xml:space="preserve">5.4 </w:t>
    </w:r>
    <w:r w:rsidRPr="00932DAE">
      <w:rPr>
        <w:rFonts w:ascii="Arial" w:hAnsi="Arial" w:cs="Arial"/>
        <w:sz w:val="18"/>
        <w:szCs w:val="18"/>
      </w:rPr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4A9E" w14:textId="77777777" w:rsidR="00F77718" w:rsidRDefault="00F77718" w:rsidP="00855EE6">
      <w:pPr>
        <w:spacing w:after="0" w:line="240" w:lineRule="auto"/>
      </w:pPr>
      <w:r>
        <w:separator/>
      </w:r>
    </w:p>
  </w:footnote>
  <w:footnote w:type="continuationSeparator" w:id="0">
    <w:p w14:paraId="32D634B3" w14:textId="77777777" w:rsidR="00F77718" w:rsidRDefault="00F77718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452A6A00" w:rsidR="00915462" w:rsidRDefault="00915462" w:rsidP="00915462">
    <w:pPr>
      <w:pStyle w:val="Header"/>
      <w:jc w:val="center"/>
      <w:rPr>
        <w:noProof/>
      </w:rPr>
    </w:pPr>
  </w:p>
  <w:p w14:paraId="0D03B682" w14:textId="77777777" w:rsidR="00426D5C" w:rsidRDefault="00426D5C" w:rsidP="00915462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2F78" w14:textId="15DCCB1E" w:rsidR="00426D5C" w:rsidRDefault="00D914F1" w:rsidP="00F1679E">
    <w:pPr>
      <w:pStyle w:val="Header"/>
      <w:jc w:val="center"/>
    </w:pPr>
    <w:r w:rsidRPr="00AC7632">
      <w:rPr>
        <w:noProof/>
      </w:rPr>
      <w:drawing>
        <wp:inline distT="0" distB="0" distL="0" distR="0" wp14:anchorId="43DC9507" wp14:editId="004DFAB9">
          <wp:extent cx="1927825" cy="768096"/>
          <wp:effectExtent l="0" t="0" r="0" b="0"/>
          <wp:docPr id="4820197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25" cy="7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6E3D86" w14:textId="77777777" w:rsidR="00F1679E" w:rsidRDefault="00F1679E" w:rsidP="00F1679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4B103566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  <w:color w:val="auto"/>
        <w:sz w:val="22"/>
        <w:szCs w:val="22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37960956">
    <w:abstractNumId w:val="1"/>
  </w:num>
  <w:num w:numId="2" w16cid:durableId="2019037655">
    <w:abstractNumId w:val="2"/>
  </w:num>
  <w:num w:numId="3" w16cid:durableId="328991545">
    <w:abstractNumId w:val="0"/>
  </w:num>
  <w:num w:numId="4" w16cid:durableId="1118839391">
    <w:abstractNumId w:val="3"/>
  </w:num>
  <w:num w:numId="5" w16cid:durableId="2070326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9992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8445358">
    <w:abstractNumId w:val="3"/>
  </w:num>
  <w:num w:numId="8" w16cid:durableId="1082488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0BkIzA1MDU0NLSyUdpeDU4uLM/DyQAsNaAF7m/s4sAAAA"/>
    <w:docVar w:name="HDFieldAppearanceNeedsUpdate" w:val="False"/>
  </w:docVars>
  <w:rsids>
    <w:rsidRoot w:val="00855EE6"/>
    <w:rsid w:val="00003671"/>
    <w:rsid w:val="00006B0F"/>
    <w:rsid w:val="0002131A"/>
    <w:rsid w:val="00024DA8"/>
    <w:rsid w:val="00027664"/>
    <w:rsid w:val="0003690D"/>
    <w:rsid w:val="0004230B"/>
    <w:rsid w:val="00043290"/>
    <w:rsid w:val="00056250"/>
    <w:rsid w:val="00057717"/>
    <w:rsid w:val="00060666"/>
    <w:rsid w:val="00066618"/>
    <w:rsid w:val="00073852"/>
    <w:rsid w:val="00077421"/>
    <w:rsid w:val="00082A10"/>
    <w:rsid w:val="00082AFF"/>
    <w:rsid w:val="00082D39"/>
    <w:rsid w:val="00095BC7"/>
    <w:rsid w:val="0009658B"/>
    <w:rsid w:val="00097C68"/>
    <w:rsid w:val="000A4077"/>
    <w:rsid w:val="000A7B7E"/>
    <w:rsid w:val="000B2C75"/>
    <w:rsid w:val="000C13D4"/>
    <w:rsid w:val="000C348C"/>
    <w:rsid w:val="000C69EE"/>
    <w:rsid w:val="000C7B0C"/>
    <w:rsid w:val="000D3395"/>
    <w:rsid w:val="000D49E6"/>
    <w:rsid w:val="000D51B3"/>
    <w:rsid w:val="000E220B"/>
    <w:rsid w:val="000F10A5"/>
    <w:rsid w:val="000F2312"/>
    <w:rsid w:val="000F5F1B"/>
    <w:rsid w:val="001026EA"/>
    <w:rsid w:val="00107496"/>
    <w:rsid w:val="00112F1A"/>
    <w:rsid w:val="00123A06"/>
    <w:rsid w:val="0012495A"/>
    <w:rsid w:val="001306CE"/>
    <w:rsid w:val="00141F60"/>
    <w:rsid w:val="00142804"/>
    <w:rsid w:val="00147231"/>
    <w:rsid w:val="00150F78"/>
    <w:rsid w:val="00150F7C"/>
    <w:rsid w:val="001525DC"/>
    <w:rsid w:val="00171A64"/>
    <w:rsid w:val="001826AE"/>
    <w:rsid w:val="00182E43"/>
    <w:rsid w:val="001837D4"/>
    <w:rsid w:val="00186033"/>
    <w:rsid w:val="001907B0"/>
    <w:rsid w:val="001920B4"/>
    <w:rsid w:val="00192CCC"/>
    <w:rsid w:val="001B0558"/>
    <w:rsid w:val="001B07D0"/>
    <w:rsid w:val="001D0FD1"/>
    <w:rsid w:val="001D648E"/>
    <w:rsid w:val="001D7727"/>
    <w:rsid w:val="001E5B55"/>
    <w:rsid w:val="001E70B6"/>
    <w:rsid w:val="001E71E1"/>
    <w:rsid w:val="001F53F4"/>
    <w:rsid w:val="001F5404"/>
    <w:rsid w:val="001F60EA"/>
    <w:rsid w:val="002068DB"/>
    <w:rsid w:val="00207A68"/>
    <w:rsid w:val="00207C5D"/>
    <w:rsid w:val="0021038E"/>
    <w:rsid w:val="00211507"/>
    <w:rsid w:val="00211AA5"/>
    <w:rsid w:val="00214FE4"/>
    <w:rsid w:val="00216912"/>
    <w:rsid w:val="00220A48"/>
    <w:rsid w:val="002348DF"/>
    <w:rsid w:val="00235C14"/>
    <w:rsid w:val="00237AA9"/>
    <w:rsid w:val="00246EEB"/>
    <w:rsid w:val="00250560"/>
    <w:rsid w:val="002578AF"/>
    <w:rsid w:val="00265E80"/>
    <w:rsid w:val="00270F41"/>
    <w:rsid w:val="00271815"/>
    <w:rsid w:val="00272E9B"/>
    <w:rsid w:val="00273D94"/>
    <w:rsid w:val="00274C65"/>
    <w:rsid w:val="002838D9"/>
    <w:rsid w:val="00285EE0"/>
    <w:rsid w:val="00293DAC"/>
    <w:rsid w:val="00297E2F"/>
    <w:rsid w:val="002A0DD4"/>
    <w:rsid w:val="002A3EFA"/>
    <w:rsid w:val="002A616F"/>
    <w:rsid w:val="002B681F"/>
    <w:rsid w:val="002C3AB4"/>
    <w:rsid w:val="002C3C41"/>
    <w:rsid w:val="002C4250"/>
    <w:rsid w:val="002D52C8"/>
    <w:rsid w:val="002E43BD"/>
    <w:rsid w:val="002E6960"/>
    <w:rsid w:val="002E6CC4"/>
    <w:rsid w:val="00326316"/>
    <w:rsid w:val="00326970"/>
    <w:rsid w:val="00326EF8"/>
    <w:rsid w:val="00331038"/>
    <w:rsid w:val="00333F23"/>
    <w:rsid w:val="0033656C"/>
    <w:rsid w:val="00341025"/>
    <w:rsid w:val="0034262A"/>
    <w:rsid w:val="003446B4"/>
    <w:rsid w:val="00346CC3"/>
    <w:rsid w:val="00347A35"/>
    <w:rsid w:val="00351C74"/>
    <w:rsid w:val="00351E4A"/>
    <w:rsid w:val="00352494"/>
    <w:rsid w:val="0035722D"/>
    <w:rsid w:val="003619DA"/>
    <w:rsid w:val="00361D44"/>
    <w:rsid w:val="003637AF"/>
    <w:rsid w:val="00376FA0"/>
    <w:rsid w:val="003854F8"/>
    <w:rsid w:val="00390109"/>
    <w:rsid w:val="00392CA7"/>
    <w:rsid w:val="00394284"/>
    <w:rsid w:val="003972DF"/>
    <w:rsid w:val="00397902"/>
    <w:rsid w:val="00397D6B"/>
    <w:rsid w:val="003A52B2"/>
    <w:rsid w:val="003A7082"/>
    <w:rsid w:val="003B2299"/>
    <w:rsid w:val="003B2B5A"/>
    <w:rsid w:val="003B7F94"/>
    <w:rsid w:val="003D1BF4"/>
    <w:rsid w:val="003D267D"/>
    <w:rsid w:val="003E0830"/>
    <w:rsid w:val="003E5AE2"/>
    <w:rsid w:val="003E67FD"/>
    <w:rsid w:val="003F35F5"/>
    <w:rsid w:val="003F4DFD"/>
    <w:rsid w:val="003F5402"/>
    <w:rsid w:val="00413B76"/>
    <w:rsid w:val="00422CE2"/>
    <w:rsid w:val="00425FB1"/>
    <w:rsid w:val="00426D5C"/>
    <w:rsid w:val="0043068C"/>
    <w:rsid w:val="00432636"/>
    <w:rsid w:val="00433C87"/>
    <w:rsid w:val="00442D5A"/>
    <w:rsid w:val="00444390"/>
    <w:rsid w:val="00444A65"/>
    <w:rsid w:val="00446802"/>
    <w:rsid w:val="004709CB"/>
    <w:rsid w:val="0047525D"/>
    <w:rsid w:val="004769D7"/>
    <w:rsid w:val="004863AF"/>
    <w:rsid w:val="0048656D"/>
    <w:rsid w:val="00490DCA"/>
    <w:rsid w:val="00491D16"/>
    <w:rsid w:val="004959E8"/>
    <w:rsid w:val="004A37E5"/>
    <w:rsid w:val="004B05DE"/>
    <w:rsid w:val="004B1489"/>
    <w:rsid w:val="004B6FD6"/>
    <w:rsid w:val="004C0405"/>
    <w:rsid w:val="004C23A0"/>
    <w:rsid w:val="004D018C"/>
    <w:rsid w:val="004E2CCD"/>
    <w:rsid w:val="004E3B58"/>
    <w:rsid w:val="004E589B"/>
    <w:rsid w:val="004F1D52"/>
    <w:rsid w:val="004F29EE"/>
    <w:rsid w:val="00501926"/>
    <w:rsid w:val="00511A48"/>
    <w:rsid w:val="00512CDD"/>
    <w:rsid w:val="00516F5A"/>
    <w:rsid w:val="00521FE5"/>
    <w:rsid w:val="00525F7D"/>
    <w:rsid w:val="0052653E"/>
    <w:rsid w:val="00526F5F"/>
    <w:rsid w:val="00532F27"/>
    <w:rsid w:val="00532FFC"/>
    <w:rsid w:val="0053718D"/>
    <w:rsid w:val="0053738C"/>
    <w:rsid w:val="00542F38"/>
    <w:rsid w:val="0054465A"/>
    <w:rsid w:val="00553709"/>
    <w:rsid w:val="00554A6F"/>
    <w:rsid w:val="00555B6E"/>
    <w:rsid w:val="00556B7C"/>
    <w:rsid w:val="00562593"/>
    <w:rsid w:val="00564136"/>
    <w:rsid w:val="005678B9"/>
    <w:rsid w:val="00570D96"/>
    <w:rsid w:val="00574247"/>
    <w:rsid w:val="00575F83"/>
    <w:rsid w:val="0058162D"/>
    <w:rsid w:val="00585DA8"/>
    <w:rsid w:val="0059053B"/>
    <w:rsid w:val="00593C23"/>
    <w:rsid w:val="00596B8E"/>
    <w:rsid w:val="005A4155"/>
    <w:rsid w:val="005A50E5"/>
    <w:rsid w:val="005A6CD0"/>
    <w:rsid w:val="005B2D6C"/>
    <w:rsid w:val="005B5AED"/>
    <w:rsid w:val="005B7D2B"/>
    <w:rsid w:val="005C03DA"/>
    <w:rsid w:val="005C113C"/>
    <w:rsid w:val="005C1A02"/>
    <w:rsid w:val="005C5C4B"/>
    <w:rsid w:val="005D4169"/>
    <w:rsid w:val="005D758B"/>
    <w:rsid w:val="005E0C23"/>
    <w:rsid w:val="005E3AD4"/>
    <w:rsid w:val="005F4C20"/>
    <w:rsid w:val="005F5A88"/>
    <w:rsid w:val="00603B59"/>
    <w:rsid w:val="00605847"/>
    <w:rsid w:val="00605A18"/>
    <w:rsid w:val="00611941"/>
    <w:rsid w:val="00612FDA"/>
    <w:rsid w:val="00614374"/>
    <w:rsid w:val="006212EC"/>
    <w:rsid w:val="0062282F"/>
    <w:rsid w:val="00625B34"/>
    <w:rsid w:val="00625EFE"/>
    <w:rsid w:val="00626F4E"/>
    <w:rsid w:val="00627C00"/>
    <w:rsid w:val="00632EB8"/>
    <w:rsid w:val="00633FA2"/>
    <w:rsid w:val="00636276"/>
    <w:rsid w:val="006473DE"/>
    <w:rsid w:val="00650A58"/>
    <w:rsid w:val="0065148E"/>
    <w:rsid w:val="0065692E"/>
    <w:rsid w:val="0066051E"/>
    <w:rsid w:val="00665BBE"/>
    <w:rsid w:val="006736D1"/>
    <w:rsid w:val="00675EB8"/>
    <w:rsid w:val="006844F4"/>
    <w:rsid w:val="00693AEF"/>
    <w:rsid w:val="00695219"/>
    <w:rsid w:val="006A6EEA"/>
    <w:rsid w:val="006B1791"/>
    <w:rsid w:val="006B230D"/>
    <w:rsid w:val="006B551A"/>
    <w:rsid w:val="006C0049"/>
    <w:rsid w:val="006C08EA"/>
    <w:rsid w:val="006C3173"/>
    <w:rsid w:val="006C7317"/>
    <w:rsid w:val="006D6483"/>
    <w:rsid w:val="006E1023"/>
    <w:rsid w:val="006E16DD"/>
    <w:rsid w:val="006F011D"/>
    <w:rsid w:val="006F23D2"/>
    <w:rsid w:val="00707447"/>
    <w:rsid w:val="00710182"/>
    <w:rsid w:val="00720327"/>
    <w:rsid w:val="00720614"/>
    <w:rsid w:val="00725F54"/>
    <w:rsid w:val="00734955"/>
    <w:rsid w:val="00744B04"/>
    <w:rsid w:val="007469E0"/>
    <w:rsid w:val="0075534E"/>
    <w:rsid w:val="0076301A"/>
    <w:rsid w:val="00772E81"/>
    <w:rsid w:val="00776FFB"/>
    <w:rsid w:val="00787CB5"/>
    <w:rsid w:val="007917FF"/>
    <w:rsid w:val="007A28D2"/>
    <w:rsid w:val="007A2C05"/>
    <w:rsid w:val="007A5939"/>
    <w:rsid w:val="007B021C"/>
    <w:rsid w:val="007B3239"/>
    <w:rsid w:val="007C07A5"/>
    <w:rsid w:val="007D4A5D"/>
    <w:rsid w:val="007D5DDB"/>
    <w:rsid w:val="007D68DE"/>
    <w:rsid w:val="007E0FFC"/>
    <w:rsid w:val="007E22BB"/>
    <w:rsid w:val="007E3873"/>
    <w:rsid w:val="007F29E2"/>
    <w:rsid w:val="007F3BEF"/>
    <w:rsid w:val="007F5FBD"/>
    <w:rsid w:val="00806A1C"/>
    <w:rsid w:val="00815B07"/>
    <w:rsid w:val="00816D39"/>
    <w:rsid w:val="00821048"/>
    <w:rsid w:val="00821C23"/>
    <w:rsid w:val="00826D4A"/>
    <w:rsid w:val="00827AFB"/>
    <w:rsid w:val="00831615"/>
    <w:rsid w:val="00832F55"/>
    <w:rsid w:val="008364C4"/>
    <w:rsid w:val="008371AF"/>
    <w:rsid w:val="0084152D"/>
    <w:rsid w:val="00855EE6"/>
    <w:rsid w:val="00857C40"/>
    <w:rsid w:val="0086083E"/>
    <w:rsid w:val="0086579F"/>
    <w:rsid w:val="008662EE"/>
    <w:rsid w:val="00872DA6"/>
    <w:rsid w:val="00880889"/>
    <w:rsid w:val="0088298D"/>
    <w:rsid w:val="008837A3"/>
    <w:rsid w:val="008863DF"/>
    <w:rsid w:val="008865E3"/>
    <w:rsid w:val="00891FE9"/>
    <w:rsid w:val="00892392"/>
    <w:rsid w:val="0089293D"/>
    <w:rsid w:val="00893D51"/>
    <w:rsid w:val="00897B55"/>
    <w:rsid w:val="008A4DA8"/>
    <w:rsid w:val="008A7378"/>
    <w:rsid w:val="008B0231"/>
    <w:rsid w:val="008B32E5"/>
    <w:rsid w:val="008B3D20"/>
    <w:rsid w:val="008B4215"/>
    <w:rsid w:val="008B4638"/>
    <w:rsid w:val="008B59D6"/>
    <w:rsid w:val="008C03C9"/>
    <w:rsid w:val="008C4ED0"/>
    <w:rsid w:val="008C7F0E"/>
    <w:rsid w:val="008E3869"/>
    <w:rsid w:val="008F2B49"/>
    <w:rsid w:val="008F2DDA"/>
    <w:rsid w:val="009137FD"/>
    <w:rsid w:val="00915462"/>
    <w:rsid w:val="00917358"/>
    <w:rsid w:val="009207B7"/>
    <w:rsid w:val="00924AB4"/>
    <w:rsid w:val="0092744E"/>
    <w:rsid w:val="00927A11"/>
    <w:rsid w:val="00931C15"/>
    <w:rsid w:val="00932ACE"/>
    <w:rsid w:val="00932DAE"/>
    <w:rsid w:val="00937F0D"/>
    <w:rsid w:val="00942CC7"/>
    <w:rsid w:val="0094337E"/>
    <w:rsid w:val="00950158"/>
    <w:rsid w:val="00950C68"/>
    <w:rsid w:val="0095220A"/>
    <w:rsid w:val="009625EC"/>
    <w:rsid w:val="00966162"/>
    <w:rsid w:val="009B1617"/>
    <w:rsid w:val="009C1EE8"/>
    <w:rsid w:val="009D3616"/>
    <w:rsid w:val="009E17E9"/>
    <w:rsid w:val="009E2F12"/>
    <w:rsid w:val="009E53B3"/>
    <w:rsid w:val="009F147D"/>
    <w:rsid w:val="009F31F2"/>
    <w:rsid w:val="00A014A9"/>
    <w:rsid w:val="00A077AD"/>
    <w:rsid w:val="00A266A5"/>
    <w:rsid w:val="00A31623"/>
    <w:rsid w:val="00A379D1"/>
    <w:rsid w:val="00A464AC"/>
    <w:rsid w:val="00A474EF"/>
    <w:rsid w:val="00A47E98"/>
    <w:rsid w:val="00A5039F"/>
    <w:rsid w:val="00A55D26"/>
    <w:rsid w:val="00A612EB"/>
    <w:rsid w:val="00A62D7A"/>
    <w:rsid w:val="00A64CCF"/>
    <w:rsid w:val="00A67827"/>
    <w:rsid w:val="00A7086C"/>
    <w:rsid w:val="00A73A09"/>
    <w:rsid w:val="00A74809"/>
    <w:rsid w:val="00A83A6F"/>
    <w:rsid w:val="00A8525D"/>
    <w:rsid w:val="00A87A14"/>
    <w:rsid w:val="00A95D1A"/>
    <w:rsid w:val="00AB4069"/>
    <w:rsid w:val="00AC06CF"/>
    <w:rsid w:val="00AC2F0C"/>
    <w:rsid w:val="00AC4ED1"/>
    <w:rsid w:val="00AE7E38"/>
    <w:rsid w:val="00AF0041"/>
    <w:rsid w:val="00B008DD"/>
    <w:rsid w:val="00B030A1"/>
    <w:rsid w:val="00B11B55"/>
    <w:rsid w:val="00B1273D"/>
    <w:rsid w:val="00B23768"/>
    <w:rsid w:val="00B23D93"/>
    <w:rsid w:val="00B3106E"/>
    <w:rsid w:val="00B35DD1"/>
    <w:rsid w:val="00B439CB"/>
    <w:rsid w:val="00B509A8"/>
    <w:rsid w:val="00B50F53"/>
    <w:rsid w:val="00B53AC8"/>
    <w:rsid w:val="00B541EE"/>
    <w:rsid w:val="00B545C0"/>
    <w:rsid w:val="00B54DF7"/>
    <w:rsid w:val="00B565AE"/>
    <w:rsid w:val="00B579A7"/>
    <w:rsid w:val="00B604D8"/>
    <w:rsid w:val="00B60A3F"/>
    <w:rsid w:val="00B61F4A"/>
    <w:rsid w:val="00B65EEF"/>
    <w:rsid w:val="00B660CE"/>
    <w:rsid w:val="00B71A43"/>
    <w:rsid w:val="00B8543A"/>
    <w:rsid w:val="00B93481"/>
    <w:rsid w:val="00BA1D2E"/>
    <w:rsid w:val="00BB2AC7"/>
    <w:rsid w:val="00BB3764"/>
    <w:rsid w:val="00BB5AC0"/>
    <w:rsid w:val="00BB6BB4"/>
    <w:rsid w:val="00BC7F9E"/>
    <w:rsid w:val="00BD01A9"/>
    <w:rsid w:val="00BD7851"/>
    <w:rsid w:val="00BD7FF6"/>
    <w:rsid w:val="00BF2F85"/>
    <w:rsid w:val="00C0453E"/>
    <w:rsid w:val="00C05851"/>
    <w:rsid w:val="00C06BED"/>
    <w:rsid w:val="00C11900"/>
    <w:rsid w:val="00C13C28"/>
    <w:rsid w:val="00C13C61"/>
    <w:rsid w:val="00C22EE9"/>
    <w:rsid w:val="00C23B37"/>
    <w:rsid w:val="00C26E2B"/>
    <w:rsid w:val="00C33872"/>
    <w:rsid w:val="00C346E2"/>
    <w:rsid w:val="00C453FD"/>
    <w:rsid w:val="00C46109"/>
    <w:rsid w:val="00C468AA"/>
    <w:rsid w:val="00C53161"/>
    <w:rsid w:val="00C536C2"/>
    <w:rsid w:val="00C6112F"/>
    <w:rsid w:val="00C61EE0"/>
    <w:rsid w:val="00C66DDB"/>
    <w:rsid w:val="00C75CAF"/>
    <w:rsid w:val="00C77626"/>
    <w:rsid w:val="00C815D5"/>
    <w:rsid w:val="00C90C8D"/>
    <w:rsid w:val="00C9362E"/>
    <w:rsid w:val="00C964D9"/>
    <w:rsid w:val="00C97E43"/>
    <w:rsid w:val="00CA04CE"/>
    <w:rsid w:val="00CA2950"/>
    <w:rsid w:val="00CA6711"/>
    <w:rsid w:val="00CA67B4"/>
    <w:rsid w:val="00CA6F0C"/>
    <w:rsid w:val="00CA71E1"/>
    <w:rsid w:val="00CA7F11"/>
    <w:rsid w:val="00CB1B6C"/>
    <w:rsid w:val="00CB3DC5"/>
    <w:rsid w:val="00CC0247"/>
    <w:rsid w:val="00CC1A1E"/>
    <w:rsid w:val="00CC5445"/>
    <w:rsid w:val="00CD462E"/>
    <w:rsid w:val="00CD6AD6"/>
    <w:rsid w:val="00CE03B7"/>
    <w:rsid w:val="00CE106A"/>
    <w:rsid w:val="00CF7FAE"/>
    <w:rsid w:val="00D1292C"/>
    <w:rsid w:val="00D13FA8"/>
    <w:rsid w:val="00D15874"/>
    <w:rsid w:val="00D2254F"/>
    <w:rsid w:val="00D26163"/>
    <w:rsid w:val="00D35E6A"/>
    <w:rsid w:val="00D47DBC"/>
    <w:rsid w:val="00D54B0E"/>
    <w:rsid w:val="00D57FA7"/>
    <w:rsid w:val="00D64547"/>
    <w:rsid w:val="00D73307"/>
    <w:rsid w:val="00D914F1"/>
    <w:rsid w:val="00D9194D"/>
    <w:rsid w:val="00D926D2"/>
    <w:rsid w:val="00D96390"/>
    <w:rsid w:val="00DA0B12"/>
    <w:rsid w:val="00DA2EDF"/>
    <w:rsid w:val="00DD1F9C"/>
    <w:rsid w:val="00DD5CA2"/>
    <w:rsid w:val="00DE05B5"/>
    <w:rsid w:val="00DE0C93"/>
    <w:rsid w:val="00DE3D7B"/>
    <w:rsid w:val="00DE7255"/>
    <w:rsid w:val="00DF0167"/>
    <w:rsid w:val="00E01CF2"/>
    <w:rsid w:val="00E0288C"/>
    <w:rsid w:val="00E03C76"/>
    <w:rsid w:val="00E03D8D"/>
    <w:rsid w:val="00E13AD8"/>
    <w:rsid w:val="00E16100"/>
    <w:rsid w:val="00E170D3"/>
    <w:rsid w:val="00E24509"/>
    <w:rsid w:val="00E30808"/>
    <w:rsid w:val="00E326B4"/>
    <w:rsid w:val="00E33C34"/>
    <w:rsid w:val="00E34769"/>
    <w:rsid w:val="00E50699"/>
    <w:rsid w:val="00E5572C"/>
    <w:rsid w:val="00E61D55"/>
    <w:rsid w:val="00E679BA"/>
    <w:rsid w:val="00E702E5"/>
    <w:rsid w:val="00E71F24"/>
    <w:rsid w:val="00E720E1"/>
    <w:rsid w:val="00E74D72"/>
    <w:rsid w:val="00E8303A"/>
    <w:rsid w:val="00E912ED"/>
    <w:rsid w:val="00E93EEF"/>
    <w:rsid w:val="00EC2E18"/>
    <w:rsid w:val="00EC6A4E"/>
    <w:rsid w:val="00ED6B63"/>
    <w:rsid w:val="00ED7176"/>
    <w:rsid w:val="00EE39FA"/>
    <w:rsid w:val="00EE476D"/>
    <w:rsid w:val="00EE5E8C"/>
    <w:rsid w:val="00EF043D"/>
    <w:rsid w:val="00EF2340"/>
    <w:rsid w:val="00EF642F"/>
    <w:rsid w:val="00EF7208"/>
    <w:rsid w:val="00EF74DA"/>
    <w:rsid w:val="00F116D8"/>
    <w:rsid w:val="00F1679E"/>
    <w:rsid w:val="00F17F44"/>
    <w:rsid w:val="00F20B70"/>
    <w:rsid w:val="00F21D47"/>
    <w:rsid w:val="00F234B6"/>
    <w:rsid w:val="00F24FDD"/>
    <w:rsid w:val="00F32C14"/>
    <w:rsid w:val="00F3588C"/>
    <w:rsid w:val="00F40567"/>
    <w:rsid w:val="00F53E92"/>
    <w:rsid w:val="00F552D3"/>
    <w:rsid w:val="00F570C9"/>
    <w:rsid w:val="00F60FD6"/>
    <w:rsid w:val="00F700C0"/>
    <w:rsid w:val="00F71D8A"/>
    <w:rsid w:val="00F76ECA"/>
    <w:rsid w:val="00F77718"/>
    <w:rsid w:val="00F825D3"/>
    <w:rsid w:val="00F84AEF"/>
    <w:rsid w:val="00F9069E"/>
    <w:rsid w:val="00FB11BB"/>
    <w:rsid w:val="00FB1F18"/>
    <w:rsid w:val="00FB62C2"/>
    <w:rsid w:val="00FC1656"/>
    <w:rsid w:val="00FC6A61"/>
    <w:rsid w:val="00FE1862"/>
    <w:rsid w:val="109EA8B1"/>
    <w:rsid w:val="150289C3"/>
    <w:rsid w:val="3FED2A2A"/>
    <w:rsid w:val="5769013F"/>
    <w:rsid w:val="5AB6D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5F19CD20-2864-451F-A021-C6C1392E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</w:pPr>
  </w:style>
  <w:style w:type="paragraph" w:customStyle="1" w:styleId="SOPLevel4">
    <w:name w:val="SOP Level 4"/>
    <w:basedOn w:val="SOPLevel3"/>
    <w:rsid w:val="00326316"/>
    <w:pPr>
      <w:numPr>
        <w:ilvl w:val="3"/>
      </w:numPr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character" w:styleId="Hyperlink">
    <w:name w:val="Hyperlink"/>
    <w:unhideWhenUsed/>
    <w:rsid w:val="008865E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65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5E3"/>
    <w:rPr>
      <w:sz w:val="20"/>
      <w:szCs w:val="20"/>
    </w:rPr>
  </w:style>
  <w:style w:type="character" w:styleId="FootnoteReference">
    <w:name w:val="footnote reference"/>
    <w:semiHidden/>
    <w:unhideWhenUsed/>
    <w:rsid w:val="008865E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01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01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D018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E16D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61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1575AEA448A45ABDD15D6A07E6B8E" ma:contentTypeVersion="3" ma:contentTypeDescription="Create a new document." ma:contentTypeScope="" ma:versionID="2cc8b2713c5efca64f4b9b60cf289ded">
  <xsd:schema xmlns:xsd="http://www.w3.org/2001/XMLSchema" xmlns:xs="http://www.w3.org/2001/XMLSchema" xmlns:p="http://schemas.microsoft.com/office/2006/metadata/properties" xmlns:ns2="be7ac594-3fae-45a5-acf2-6503baaf7c5f" targetNamespace="http://schemas.microsoft.com/office/2006/metadata/properties" ma:root="true" ma:fieldsID="9a6dc26be825e261c58d63def5cd81fc" ns2:_="">
    <xsd:import namespace="be7ac594-3fae-45a5-acf2-6503baaf7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c594-3fae-45a5-acf2-6503baaf7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982B4-9D1B-442B-BFBC-64F4BA45DB90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e7ac594-3fae-45a5-acf2-6503baaf7c5f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A0B39C2-CC30-455A-AAB0-3E33D1EC53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E16EC6-4DD8-4A51-BBC1-80AF604FD0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E1AA9-AEA3-40F4-B15F-CF2CD5C03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ac594-3fae-45a5-acf2-6503baaf7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7d57a9-4988-4be2-b64f-97e297adcfee}" enabled="0" method="" siteId="{8f7d57a9-4988-4be2-b64f-97e297adcf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1119</Words>
  <Characters>6379</Characters>
  <Application>Microsoft Office Word</Application>
  <DocSecurity>0</DocSecurity>
  <Lines>53</Lines>
  <Paragraphs>14</Paragraphs>
  <ScaleCrop>false</ScaleCrop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Hannah</dc:creator>
  <cp:keywords/>
  <dc:description/>
  <cp:lastModifiedBy>Phillips, Hannah</cp:lastModifiedBy>
  <cp:revision>4</cp:revision>
  <dcterms:created xsi:type="dcterms:W3CDTF">2026-06-05T21:47:00Z</dcterms:created>
  <dcterms:modified xsi:type="dcterms:W3CDTF">2026-06-12T18:16:00Z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0x01010034F1575AEA448A45ABDD15D6A07E6B8E</vt:lpwstr>
  </property>
</Properties>
</file>