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6E566732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BC6022">
        <w:rPr>
          <w:rFonts w:ascii="Arial" w:hAnsi="Arial" w:cs="Arial"/>
        </w:rPr>
        <w:t>051</w:t>
      </w:r>
      <w:r w:rsidRPr="00E03D8D">
        <w:rPr>
          <w:rFonts w:ascii="Arial" w:hAnsi="Arial" w:cs="Arial"/>
        </w:rPr>
        <w:t xml:space="preserve"> |</w:t>
      </w:r>
      <w:r w:rsidR="00BC6022">
        <w:rPr>
          <w:rFonts w:ascii="Arial" w:hAnsi="Arial" w:cs="Arial"/>
        </w:rPr>
        <w:t xml:space="preserve"> </w:t>
      </w:r>
      <w:r w:rsidR="009E7A96">
        <w:rPr>
          <w:rFonts w:ascii="Arial" w:hAnsi="Arial" w:cs="Arial"/>
        </w:rPr>
        <w:t>06/</w:t>
      </w:r>
      <w:r w:rsidR="009E13A9">
        <w:rPr>
          <w:rFonts w:ascii="Arial" w:hAnsi="Arial" w:cs="Arial"/>
        </w:rPr>
        <w:t>10</w:t>
      </w:r>
      <w:r w:rsidR="00BB5F0D">
        <w:rPr>
          <w:rFonts w:ascii="Arial" w:hAnsi="Arial" w:cs="Arial"/>
        </w:rPr>
        <w:t>/2026</w:t>
      </w:r>
      <w:r w:rsidR="00BC6022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587117" w:rsidRPr="00587117">
        <w:rPr>
          <w:rFonts w:ascii="Arial" w:hAnsi="Arial" w:cs="Arial"/>
        </w:rPr>
        <w:t>Owne</w:t>
      </w:r>
      <w:r w:rsidR="008A6C9E">
        <w:rPr>
          <w:rFonts w:ascii="Arial" w:hAnsi="Arial" w:cs="Arial"/>
        </w:rPr>
        <w:t xml:space="preserve">r: </w:t>
      </w:r>
      <w:r w:rsidR="00BB5F0D">
        <w:rPr>
          <w:rFonts w:ascii="Arial" w:hAnsi="Arial" w:cs="Arial"/>
        </w:rPr>
        <w:t>Huron; H. Phillips</w:t>
      </w:r>
      <w:r w:rsidR="008A6C9E">
        <w:rPr>
          <w:rFonts w:ascii="Arial" w:hAnsi="Arial" w:cs="Arial"/>
        </w:rPr>
        <w:t xml:space="preserve"> | Approver: </w:t>
      </w:r>
      <w:r w:rsidR="00BB5F0D">
        <w:rPr>
          <w:rFonts w:ascii="Arial" w:hAnsi="Arial" w:cs="Arial"/>
        </w:rPr>
        <w:t>D. Durbin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7672908E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BC6022">
        <w:rPr>
          <w:szCs w:val="32"/>
        </w:rPr>
        <w:t>Consultation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Pr="008E1EE7" w:rsidRDefault="00326316" w:rsidP="00326316">
      <w:pPr>
        <w:pStyle w:val="DocumentTitle-HCG"/>
        <w:rPr>
          <w:sz w:val="24"/>
          <w:szCs w:val="28"/>
        </w:rPr>
      </w:pPr>
    </w:p>
    <w:p w14:paraId="1134245D" w14:textId="77777777" w:rsidR="00BC6022" w:rsidRPr="00AA3A95" w:rsidRDefault="00326316" w:rsidP="00AA3A95">
      <w:pPr>
        <w:pStyle w:val="SOPLevel1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PURPOSE</w:t>
      </w:r>
    </w:p>
    <w:p w14:paraId="29E57C9E" w14:textId="76DCD714" w:rsidR="00BC6022" w:rsidRPr="00AA3A95" w:rsidRDefault="00BC6022" w:rsidP="00AA3A95">
      <w:pPr>
        <w:pStyle w:val="SOPLevel2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This procedure establishes the process for the IRB to obtain consultants.</w:t>
      </w:r>
    </w:p>
    <w:p w14:paraId="6AC70886" w14:textId="77777777" w:rsidR="00BC6022" w:rsidRPr="00AA3A95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The process begins when the IRB staff or IRB member has identified the need for consultation.</w:t>
      </w:r>
    </w:p>
    <w:p w14:paraId="6BA2EC2D" w14:textId="51C812C3" w:rsidR="0034262A" w:rsidRPr="00AA3A95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The process ends when the consultant has provided additional expertise to the IRB.</w:t>
      </w:r>
    </w:p>
    <w:p w14:paraId="2F59A332" w14:textId="77777777" w:rsidR="00326316" w:rsidRPr="00AA3A95" w:rsidRDefault="00326316" w:rsidP="00AA3A95">
      <w:pPr>
        <w:pStyle w:val="SOPLevel1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REVISIONS FROM PREVIOUS VERSION</w:t>
      </w:r>
    </w:p>
    <w:p w14:paraId="1CD68A5C" w14:textId="40230F4C" w:rsidR="00326316" w:rsidRPr="004F6FE6" w:rsidRDefault="004F6FE6" w:rsidP="004F6FE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Throughout document, update “Conflicting Interest” to “Conflicts of Interest” as stated in </w:t>
      </w:r>
      <w:r w:rsidRPr="00AA3A95">
        <w:rPr>
          <w:rFonts w:cs="Arial"/>
          <w:sz w:val="22"/>
          <w:szCs w:val="22"/>
        </w:rPr>
        <w:t xml:space="preserve">HRP-001 - SOP </w:t>
      </w:r>
      <w:r>
        <w:rPr>
          <w:rFonts w:cs="Arial"/>
          <w:sz w:val="22"/>
          <w:szCs w:val="22"/>
        </w:rPr>
        <w:t>–</w:t>
      </w:r>
      <w:r w:rsidRPr="00AA3A95">
        <w:rPr>
          <w:rFonts w:cs="Arial"/>
          <w:sz w:val="22"/>
          <w:szCs w:val="22"/>
        </w:rPr>
        <w:t xml:space="preserve"> Definitions</w:t>
      </w:r>
      <w:r>
        <w:rPr>
          <w:rFonts w:cs="Arial"/>
          <w:sz w:val="22"/>
          <w:szCs w:val="22"/>
        </w:rPr>
        <w:t>.</w:t>
      </w:r>
    </w:p>
    <w:p w14:paraId="78B37382" w14:textId="77777777" w:rsidR="00BC6022" w:rsidRPr="00AA3A95" w:rsidRDefault="00326316" w:rsidP="00AA3A95">
      <w:pPr>
        <w:pStyle w:val="SOPLevel1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POLICY</w:t>
      </w:r>
    </w:p>
    <w:p w14:paraId="2D09D295" w14:textId="77777777" w:rsidR="00BC6022" w:rsidRPr="00AA3A95" w:rsidRDefault="00BC6022" w:rsidP="00AA3A95">
      <w:pPr>
        <w:pStyle w:val="SOPLevel2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The IRB invites consultants with competence in special areas to assist in the review of issues which require expertise beyond or in addition to that available on the IRB.</w:t>
      </w:r>
    </w:p>
    <w:p w14:paraId="638FEC70" w14:textId="1C0E9B05" w:rsidR="00326316" w:rsidRPr="00AA3A95" w:rsidRDefault="00BC6022" w:rsidP="00AA3A95">
      <w:pPr>
        <w:pStyle w:val="SOPLevel2"/>
        <w:spacing w:line="276" w:lineRule="auto"/>
        <w:rPr>
          <w:sz w:val="22"/>
          <w:szCs w:val="22"/>
        </w:rPr>
      </w:pPr>
      <w:r w:rsidRPr="00AA3A95">
        <w:rPr>
          <w:rFonts w:cs="Arial"/>
          <w:sz w:val="22"/>
          <w:szCs w:val="22"/>
        </w:rPr>
        <w:t xml:space="preserve">Consultants with </w:t>
      </w:r>
      <w:proofErr w:type="gramStart"/>
      <w:r w:rsidRPr="00AA3A95">
        <w:rPr>
          <w:rFonts w:cs="Arial"/>
          <w:sz w:val="22"/>
          <w:szCs w:val="22"/>
        </w:rPr>
        <w:t xml:space="preserve">a </w:t>
      </w:r>
      <w:r w:rsidRPr="00AA3A95">
        <w:rPr>
          <w:rFonts w:cs="Arial"/>
          <w:sz w:val="22"/>
          <w:szCs w:val="22"/>
          <w:u w:val="double"/>
        </w:rPr>
        <w:t>Conflict</w:t>
      </w:r>
      <w:r w:rsidR="001274FF">
        <w:rPr>
          <w:rFonts w:cs="Arial"/>
          <w:sz w:val="22"/>
          <w:szCs w:val="22"/>
          <w:u w:val="double"/>
        </w:rPr>
        <w:t>s</w:t>
      </w:r>
      <w:proofErr w:type="gramEnd"/>
      <w:r w:rsidR="001274FF">
        <w:rPr>
          <w:rFonts w:cs="Arial"/>
          <w:sz w:val="22"/>
          <w:szCs w:val="22"/>
          <w:u w:val="double"/>
        </w:rPr>
        <w:t xml:space="preserve"> of </w:t>
      </w:r>
      <w:r w:rsidRPr="00AA3A95">
        <w:rPr>
          <w:rFonts w:cs="Arial"/>
          <w:sz w:val="22"/>
          <w:szCs w:val="22"/>
          <w:u w:val="double"/>
        </w:rPr>
        <w:t>Interest</w:t>
      </w:r>
      <w:r w:rsidRPr="00AA3A95">
        <w:rPr>
          <w:rFonts w:cs="Arial"/>
          <w:sz w:val="22"/>
          <w:szCs w:val="22"/>
        </w:rPr>
        <w:t xml:space="preserve"> may not provide information to the IRB.</w:t>
      </w:r>
    </w:p>
    <w:p w14:paraId="5CB72C81" w14:textId="1D92AD63" w:rsidR="00326316" w:rsidRPr="00AA3A95" w:rsidRDefault="00326316" w:rsidP="00AA3A95">
      <w:pPr>
        <w:pStyle w:val="SOPLevel1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RESPONSIBILITIES</w:t>
      </w:r>
    </w:p>
    <w:p w14:paraId="11438116" w14:textId="77777777" w:rsidR="00BC6022" w:rsidRPr="00AA3A95" w:rsidRDefault="00BC6022" w:rsidP="00AA3A95">
      <w:pPr>
        <w:pStyle w:val="SOPLevel2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For review by a convened IRB, IRB staff members carry out these procedures.</w:t>
      </w:r>
    </w:p>
    <w:p w14:paraId="1F126D4F" w14:textId="7FD7EBED" w:rsidR="00BC6022" w:rsidRPr="00AA3A95" w:rsidRDefault="00BC6022" w:rsidP="00AA3A95">
      <w:pPr>
        <w:pStyle w:val="SOPLevel2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 xml:space="preserve">For Non-Committee Review, the </w:t>
      </w:r>
      <w:r w:rsidRPr="008E1EE7">
        <w:rPr>
          <w:sz w:val="22"/>
          <w:szCs w:val="22"/>
          <w:u w:val="double"/>
        </w:rPr>
        <w:t>Designated Reviewer</w:t>
      </w:r>
      <w:r w:rsidRPr="00AA3A95">
        <w:rPr>
          <w:sz w:val="22"/>
          <w:szCs w:val="22"/>
        </w:rPr>
        <w:t xml:space="preserve"> carries out these procedures.</w:t>
      </w:r>
    </w:p>
    <w:p w14:paraId="7A334A9E" w14:textId="77777777" w:rsidR="00326316" w:rsidRPr="00AA3A95" w:rsidRDefault="00326316" w:rsidP="00AA3A95">
      <w:pPr>
        <w:pStyle w:val="SOPLevel1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PROCEDURE</w:t>
      </w:r>
    </w:p>
    <w:p w14:paraId="4F876D63" w14:textId="5E7904A6" w:rsidR="00BC6022" w:rsidRPr="00AA3A95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Identify a consultant with the required expertise who can provide a review. Identify individuals as follows:</w:t>
      </w:r>
    </w:p>
    <w:p w14:paraId="197C4D14" w14:textId="1B47ECA6" w:rsidR="00BC6022" w:rsidRPr="00AA3A95" w:rsidRDefault="00BC6022" w:rsidP="00AA3A95">
      <w:pPr>
        <w:pStyle w:val="SOPLevel3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IRB members from other committees</w:t>
      </w:r>
    </w:p>
    <w:p w14:paraId="50A5B123" w14:textId="4B9B4D31" w:rsidR="00BC6022" w:rsidRPr="00AA3A95" w:rsidRDefault="00BC6022" w:rsidP="00AA3A95">
      <w:pPr>
        <w:pStyle w:val="SOPLevel3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Other employees of the organization</w:t>
      </w:r>
    </w:p>
    <w:p w14:paraId="7F896061" w14:textId="52A59E9E" w:rsidR="00BC6022" w:rsidRPr="00AA3A95" w:rsidRDefault="00BC6022" w:rsidP="00AA3A95">
      <w:pPr>
        <w:pStyle w:val="SOPLevel3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External consultants</w:t>
      </w:r>
    </w:p>
    <w:p w14:paraId="5443732E" w14:textId="5CA88AB2" w:rsidR="00BC6022" w:rsidRPr="00AA3A95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Contact the consultant and determine availability for review.</w:t>
      </w:r>
    </w:p>
    <w:p w14:paraId="3AA694FC" w14:textId="1982E5ED" w:rsidR="00BC6022" w:rsidRPr="00AA3A95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 xml:space="preserve">Determine whether the consultant has a </w:t>
      </w:r>
      <w:r w:rsidRPr="00AA3A95">
        <w:rPr>
          <w:rFonts w:cs="Arial"/>
          <w:sz w:val="22"/>
          <w:szCs w:val="22"/>
          <w:u w:val="double"/>
        </w:rPr>
        <w:t>Conflict</w:t>
      </w:r>
      <w:r w:rsidR="001274FF">
        <w:rPr>
          <w:rFonts w:cs="Arial"/>
          <w:sz w:val="22"/>
          <w:szCs w:val="22"/>
          <w:u w:val="double"/>
        </w:rPr>
        <w:t xml:space="preserve">s of </w:t>
      </w:r>
      <w:r w:rsidRPr="00AA3A95">
        <w:rPr>
          <w:rFonts w:cs="Arial"/>
          <w:sz w:val="22"/>
          <w:szCs w:val="22"/>
          <w:u w:val="double"/>
        </w:rPr>
        <w:t>Interest</w:t>
      </w:r>
      <w:r w:rsidRPr="00AA3A95">
        <w:rPr>
          <w:rFonts w:cs="Arial"/>
          <w:sz w:val="22"/>
          <w:szCs w:val="22"/>
        </w:rPr>
        <w:t xml:space="preserve"> as defined in HRP-001 - SOP – Definitions. If so, obtain another consultant.</w:t>
      </w:r>
    </w:p>
    <w:p w14:paraId="23AE6941" w14:textId="4DBB6E44" w:rsidR="00BC6022" w:rsidRPr="00AA3A95" w:rsidRDefault="001016DE" w:rsidP="00AA3A9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</w:t>
      </w:r>
      <w:r w:rsidRPr="00AA3A95">
        <w:rPr>
          <w:rFonts w:cs="Arial"/>
          <w:sz w:val="22"/>
          <w:szCs w:val="22"/>
        </w:rPr>
        <w:t xml:space="preserve"> </w:t>
      </w:r>
      <w:r w:rsidR="00BC6022" w:rsidRPr="00AA3A95">
        <w:rPr>
          <w:rFonts w:cs="Arial"/>
          <w:sz w:val="22"/>
          <w:szCs w:val="22"/>
        </w:rPr>
        <w:t xml:space="preserve">HRP-301 - WORKSHEET - Review Materials to determine which documents to make available to the consultant so the IRB can obtain the additional expertise </w:t>
      </w:r>
      <w:proofErr w:type="gramStart"/>
      <w:r w:rsidR="00BC6022" w:rsidRPr="00AA3A95">
        <w:rPr>
          <w:rFonts w:cs="Arial"/>
          <w:sz w:val="22"/>
          <w:szCs w:val="22"/>
        </w:rPr>
        <w:t>needed, and</w:t>
      </w:r>
      <w:proofErr w:type="gramEnd"/>
      <w:r w:rsidR="00BC6022" w:rsidRPr="00AA3A95">
        <w:rPr>
          <w:rFonts w:cs="Arial"/>
          <w:sz w:val="22"/>
          <w:szCs w:val="22"/>
        </w:rPr>
        <w:t xml:space="preserve"> make these documents available to the consultant. If the additional expertise needed does not require review of any materials, no materials need </w:t>
      </w:r>
      <w:proofErr w:type="gramStart"/>
      <w:r w:rsidR="00BC6022" w:rsidRPr="00AA3A95">
        <w:rPr>
          <w:rFonts w:cs="Arial"/>
          <w:sz w:val="22"/>
          <w:szCs w:val="22"/>
        </w:rPr>
        <w:t>be</w:t>
      </w:r>
      <w:proofErr w:type="gramEnd"/>
      <w:r w:rsidR="00BC6022" w:rsidRPr="00AA3A95">
        <w:rPr>
          <w:rFonts w:cs="Arial"/>
          <w:sz w:val="22"/>
          <w:szCs w:val="22"/>
        </w:rPr>
        <w:t xml:space="preserve"> provided.</w:t>
      </w:r>
    </w:p>
    <w:p w14:paraId="7508B70E" w14:textId="73CD02A4" w:rsidR="00BC6022" w:rsidRPr="00AA3A95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For review by the convened IRB:</w:t>
      </w:r>
    </w:p>
    <w:p w14:paraId="6A63891F" w14:textId="47A2B9EC" w:rsidR="00BC6022" w:rsidRPr="00AA3A95" w:rsidRDefault="00BC6022" w:rsidP="00AA3A95">
      <w:pPr>
        <w:pStyle w:val="SOPLevel3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Make the consultant’s written comments, if any, available to the IRB members attending the meeting.</w:t>
      </w:r>
    </w:p>
    <w:p w14:paraId="07905FFA" w14:textId="03885636" w:rsidR="00BC6022" w:rsidRPr="00AA3A95" w:rsidRDefault="00BC6022" w:rsidP="00AA3A95">
      <w:pPr>
        <w:pStyle w:val="SOPLevel3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If the consultant did not provide a written report or if requested by an IRB member, invite the consultant to the IRB meeting.</w:t>
      </w:r>
    </w:p>
    <w:p w14:paraId="48BEBB02" w14:textId="0AC67FC4" w:rsidR="00BC6022" w:rsidRPr="00AA3A95" w:rsidRDefault="00BC6022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 xml:space="preserve">For </w:t>
      </w:r>
      <w:r w:rsidRPr="008E1EE7">
        <w:rPr>
          <w:rFonts w:cs="Arial"/>
          <w:sz w:val="22"/>
          <w:szCs w:val="22"/>
          <w:u w:val="double"/>
        </w:rPr>
        <w:t>Non-Committee Review</w:t>
      </w:r>
      <w:r w:rsidRPr="00AA3A95">
        <w:rPr>
          <w:rFonts w:cs="Arial"/>
          <w:sz w:val="22"/>
          <w:szCs w:val="22"/>
        </w:rPr>
        <w:t>:</w:t>
      </w:r>
    </w:p>
    <w:p w14:paraId="5819169D" w14:textId="21591B2E" w:rsidR="00BC6022" w:rsidRPr="00AA3A95" w:rsidRDefault="00BC6022" w:rsidP="00AA3A95">
      <w:pPr>
        <w:pStyle w:val="SOPLevel3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Directly obtain the information (oral or written) from the consultant.</w:t>
      </w:r>
    </w:p>
    <w:p w14:paraId="1CC295F9" w14:textId="46F2C32A" w:rsidR="00326316" w:rsidRPr="00AA3A95" w:rsidRDefault="00BC6022" w:rsidP="00AA3A95">
      <w:pPr>
        <w:pStyle w:val="SOPLevel3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Document information received with the name of the consultant.</w:t>
      </w:r>
    </w:p>
    <w:p w14:paraId="46FE9BD2" w14:textId="77777777" w:rsidR="00326316" w:rsidRPr="00AA3A95" w:rsidRDefault="00326316" w:rsidP="00AA3A95">
      <w:pPr>
        <w:pStyle w:val="SOPLevel1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lastRenderedPageBreak/>
        <w:t>MATERIALS</w:t>
      </w:r>
    </w:p>
    <w:p w14:paraId="3151C487" w14:textId="62C541E4" w:rsidR="00AA3A95" w:rsidRPr="00AA3A95" w:rsidRDefault="00AA3A95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HRP-001 - SOP - Definitions</w:t>
      </w:r>
    </w:p>
    <w:p w14:paraId="30AC943E" w14:textId="496DE622" w:rsidR="00326316" w:rsidRPr="00AA3A95" w:rsidRDefault="00AA3A95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HRP-301 - WORKSHEET - Review Materials</w:t>
      </w:r>
    </w:p>
    <w:p w14:paraId="66C52D10" w14:textId="77777777" w:rsidR="00AA3A95" w:rsidRPr="00AA3A95" w:rsidRDefault="00326316" w:rsidP="00AA3A95">
      <w:pPr>
        <w:pStyle w:val="SOPLevel1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REFERENCES</w:t>
      </w:r>
    </w:p>
    <w:p w14:paraId="59F7CAE3" w14:textId="6D94210F" w:rsidR="00AA3A95" w:rsidRPr="00AA3A95" w:rsidRDefault="00AA3A95" w:rsidP="00AA3A95">
      <w:pPr>
        <w:pStyle w:val="SOPLevel2"/>
        <w:spacing w:line="276" w:lineRule="auto"/>
        <w:rPr>
          <w:sz w:val="22"/>
          <w:szCs w:val="22"/>
        </w:rPr>
      </w:pPr>
      <w:r w:rsidRPr="00AA3A95">
        <w:rPr>
          <w:sz w:val="22"/>
          <w:szCs w:val="22"/>
        </w:rPr>
        <w:t>21 CFR §56.107(f)</w:t>
      </w:r>
    </w:p>
    <w:p w14:paraId="122F58BC" w14:textId="2A82173F" w:rsidR="00AA3A95" w:rsidRPr="00AA3A95" w:rsidRDefault="00AA3A95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45 CFR §46.107(</w:t>
      </w:r>
      <w:r w:rsidR="00A4561A">
        <w:rPr>
          <w:rFonts w:cs="Arial"/>
          <w:sz w:val="22"/>
          <w:szCs w:val="22"/>
        </w:rPr>
        <w:t>e</w:t>
      </w:r>
      <w:r w:rsidRPr="00AA3A95">
        <w:rPr>
          <w:rFonts w:cs="Arial"/>
          <w:sz w:val="22"/>
          <w:szCs w:val="22"/>
        </w:rPr>
        <w:t>)</w:t>
      </w:r>
    </w:p>
    <w:p w14:paraId="47C4A902" w14:textId="5A9E8254" w:rsidR="002B681F" w:rsidRPr="00AA3A95" w:rsidRDefault="00AA3A95" w:rsidP="00AA3A95">
      <w:pPr>
        <w:pStyle w:val="SOPLevel2"/>
        <w:spacing w:line="276" w:lineRule="auto"/>
        <w:rPr>
          <w:rFonts w:cs="Arial"/>
          <w:sz w:val="22"/>
          <w:szCs w:val="22"/>
        </w:rPr>
      </w:pPr>
      <w:r w:rsidRPr="00AA3A95">
        <w:rPr>
          <w:rFonts w:cs="Arial"/>
          <w:sz w:val="22"/>
          <w:szCs w:val="22"/>
        </w:rPr>
        <w:t>AAHRPP elements I.1.F, I-9, II.1.D, II.1.E, II.2.E-II.</w:t>
      </w:r>
      <w:proofErr w:type="gramStart"/>
      <w:r w:rsidRPr="00AA3A95">
        <w:rPr>
          <w:rFonts w:cs="Arial"/>
          <w:sz w:val="22"/>
          <w:szCs w:val="22"/>
        </w:rPr>
        <w:t>2.E.</w:t>
      </w:r>
      <w:proofErr w:type="gramEnd"/>
      <w:r w:rsidRPr="00AA3A95">
        <w:rPr>
          <w:rFonts w:cs="Arial"/>
          <w:sz w:val="22"/>
          <w:szCs w:val="22"/>
        </w:rPr>
        <w:t>2</w:t>
      </w:r>
    </w:p>
    <w:sectPr w:rsidR="002B681F" w:rsidRPr="00AA3A95" w:rsidSect="000B331E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2CA6" w14:textId="77777777" w:rsidR="004B01F1" w:rsidRDefault="004B01F1" w:rsidP="00855EE6">
      <w:pPr>
        <w:spacing w:after="0" w:line="240" w:lineRule="auto"/>
      </w:pPr>
      <w:r>
        <w:separator/>
      </w:r>
    </w:p>
  </w:endnote>
  <w:endnote w:type="continuationSeparator" w:id="0">
    <w:p w14:paraId="1D1EC3D7" w14:textId="77777777" w:rsidR="004B01F1" w:rsidRDefault="004B01F1" w:rsidP="00855EE6">
      <w:pPr>
        <w:spacing w:after="0" w:line="240" w:lineRule="auto"/>
      </w:pPr>
      <w:r>
        <w:continuationSeparator/>
      </w:r>
    </w:p>
  </w:endnote>
  <w:endnote w:type="continuationNotice" w:id="1">
    <w:p w14:paraId="36913300" w14:textId="77777777" w:rsidR="004B01F1" w:rsidRDefault="004B01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F840C0" w:rsidRDefault="00915462" w:rsidP="00915462">
    <w:pPr>
      <w:pStyle w:val="Header"/>
      <w:jc w:val="center"/>
      <w:rPr>
        <w:rFonts w:ascii="Arial" w:hAnsi="Arial" w:cs="Arial"/>
        <w:sz w:val="18"/>
        <w:szCs w:val="18"/>
      </w:rPr>
    </w:pPr>
    <w:r w:rsidRPr="00F840C0">
      <w:rPr>
        <w:rFonts w:ascii="Arial" w:hAnsi="Arial" w:cs="Arial"/>
        <w:sz w:val="18"/>
        <w:szCs w:val="18"/>
      </w:rPr>
      <w:t xml:space="preserve">Page </w:t>
    </w:r>
    <w:r w:rsidRPr="00F840C0">
      <w:rPr>
        <w:rFonts w:ascii="Arial" w:hAnsi="Arial" w:cs="Arial"/>
        <w:b/>
        <w:bCs/>
        <w:sz w:val="18"/>
        <w:szCs w:val="18"/>
      </w:rPr>
      <w:fldChar w:fldCharType="begin"/>
    </w:r>
    <w:r w:rsidRPr="00F840C0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F840C0">
      <w:rPr>
        <w:rFonts w:ascii="Arial" w:hAnsi="Arial" w:cs="Arial"/>
        <w:b/>
        <w:bCs/>
        <w:sz w:val="18"/>
        <w:szCs w:val="18"/>
      </w:rPr>
      <w:fldChar w:fldCharType="separate"/>
    </w:r>
    <w:r w:rsidRPr="00F840C0">
      <w:rPr>
        <w:rFonts w:ascii="Arial" w:hAnsi="Arial" w:cs="Arial"/>
        <w:b/>
        <w:bCs/>
        <w:sz w:val="18"/>
        <w:szCs w:val="18"/>
      </w:rPr>
      <w:t>1</w:t>
    </w:r>
    <w:r w:rsidRPr="00F840C0">
      <w:rPr>
        <w:rFonts w:ascii="Arial" w:hAnsi="Arial" w:cs="Arial"/>
        <w:b/>
        <w:bCs/>
        <w:sz w:val="18"/>
        <w:szCs w:val="18"/>
      </w:rPr>
      <w:fldChar w:fldCharType="end"/>
    </w:r>
    <w:r w:rsidRPr="00F840C0">
      <w:rPr>
        <w:rFonts w:ascii="Arial" w:hAnsi="Arial" w:cs="Arial"/>
        <w:sz w:val="18"/>
        <w:szCs w:val="18"/>
      </w:rPr>
      <w:t xml:space="preserve"> of </w:t>
    </w:r>
    <w:r w:rsidRPr="00F840C0">
      <w:rPr>
        <w:rFonts w:ascii="Arial" w:hAnsi="Arial" w:cs="Arial"/>
        <w:b/>
        <w:bCs/>
        <w:sz w:val="18"/>
        <w:szCs w:val="18"/>
      </w:rPr>
      <w:fldChar w:fldCharType="begin"/>
    </w:r>
    <w:r w:rsidRPr="00F840C0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F840C0">
      <w:rPr>
        <w:rFonts w:ascii="Arial" w:hAnsi="Arial" w:cs="Arial"/>
        <w:b/>
        <w:bCs/>
        <w:sz w:val="18"/>
        <w:szCs w:val="18"/>
      </w:rPr>
      <w:fldChar w:fldCharType="separate"/>
    </w:r>
    <w:r w:rsidRPr="00F840C0">
      <w:rPr>
        <w:rFonts w:ascii="Arial" w:hAnsi="Arial" w:cs="Arial"/>
        <w:b/>
        <w:bCs/>
        <w:sz w:val="18"/>
        <w:szCs w:val="18"/>
      </w:rPr>
      <w:t>1</w:t>
    </w:r>
    <w:r w:rsidRPr="00F840C0">
      <w:rPr>
        <w:rFonts w:ascii="Arial" w:hAnsi="Arial" w:cs="Arial"/>
        <w:b/>
        <w:bCs/>
        <w:sz w:val="18"/>
        <w:szCs w:val="18"/>
      </w:rPr>
      <w:fldChar w:fldCharType="end"/>
    </w:r>
  </w:p>
  <w:p w14:paraId="059FE4D7" w14:textId="77B721F9" w:rsidR="00735C97" w:rsidRPr="00F840C0" w:rsidRDefault="00735C97" w:rsidP="00735C97">
    <w:pPr>
      <w:pStyle w:val="Footer"/>
      <w:jc w:val="center"/>
      <w:rPr>
        <w:rFonts w:ascii="Arial" w:hAnsi="Arial" w:cs="Arial"/>
        <w:sz w:val="18"/>
        <w:szCs w:val="18"/>
      </w:rPr>
    </w:pPr>
    <w:r w:rsidRPr="00F840C0">
      <w:rPr>
        <w:rFonts w:ascii="Arial" w:hAnsi="Arial" w:cs="Arial"/>
        <w:b/>
        <w:bCs/>
        <w:sz w:val="18"/>
        <w:szCs w:val="18"/>
      </w:rPr>
      <w:t>Huron HRPP Toolkit</w:t>
    </w:r>
    <w:r w:rsidR="004B29D5" w:rsidRPr="00F840C0">
      <w:rPr>
        <w:rFonts w:ascii="Arial" w:hAnsi="Arial" w:cs="Arial"/>
        <w:b/>
        <w:bCs/>
        <w:sz w:val="18"/>
        <w:szCs w:val="18"/>
      </w:rPr>
      <w:t xml:space="preserve"> </w:t>
    </w:r>
    <w:r w:rsidRPr="00F840C0">
      <w:rPr>
        <w:rFonts w:ascii="Arial" w:hAnsi="Arial" w:cs="Arial"/>
        <w:b/>
        <w:bCs/>
        <w:sz w:val="18"/>
        <w:szCs w:val="18"/>
      </w:rPr>
      <w:t>©</w:t>
    </w:r>
    <w:r w:rsidR="00EC7423" w:rsidRPr="00F840C0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F840C0">
      <w:rPr>
        <w:rFonts w:ascii="Arial" w:hAnsi="Arial" w:cs="Arial"/>
        <w:b/>
        <w:bCs/>
        <w:sz w:val="18"/>
        <w:szCs w:val="18"/>
      </w:rPr>
      <w:t xml:space="preserve"> </w:t>
    </w:r>
    <w:r w:rsidR="00094426" w:rsidRPr="00F840C0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F840C0">
      <w:rPr>
        <w:rFonts w:ascii="Arial" w:hAnsi="Arial" w:cs="Arial"/>
        <w:b/>
        <w:bCs/>
        <w:sz w:val="18"/>
        <w:szCs w:val="18"/>
      </w:rPr>
      <w:t xml:space="preserve"> </w:t>
    </w:r>
    <w:r w:rsidRPr="00F840C0">
      <w:rPr>
        <w:rFonts w:ascii="Arial" w:hAnsi="Arial" w:cs="Arial"/>
        <w:sz w:val="18"/>
        <w:szCs w:val="18"/>
      </w:rPr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FE68" w14:textId="77777777" w:rsidR="007B0816" w:rsidRPr="00F840C0" w:rsidRDefault="007B0816" w:rsidP="007B0816">
    <w:pPr>
      <w:pStyle w:val="Header"/>
      <w:jc w:val="center"/>
      <w:rPr>
        <w:rFonts w:ascii="Arial" w:hAnsi="Arial" w:cs="Arial"/>
        <w:sz w:val="18"/>
        <w:szCs w:val="18"/>
      </w:rPr>
    </w:pPr>
    <w:r w:rsidRPr="00F840C0">
      <w:rPr>
        <w:rFonts w:ascii="Arial" w:hAnsi="Arial" w:cs="Arial"/>
        <w:sz w:val="18"/>
        <w:szCs w:val="18"/>
      </w:rPr>
      <w:t xml:space="preserve">Page </w:t>
    </w:r>
    <w:r w:rsidRPr="00F840C0">
      <w:rPr>
        <w:rFonts w:ascii="Arial" w:hAnsi="Arial" w:cs="Arial"/>
        <w:b/>
        <w:bCs/>
        <w:sz w:val="18"/>
        <w:szCs w:val="18"/>
      </w:rPr>
      <w:fldChar w:fldCharType="begin"/>
    </w:r>
    <w:r w:rsidRPr="00F840C0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F840C0">
      <w:rPr>
        <w:rFonts w:ascii="Arial" w:hAnsi="Arial" w:cs="Arial"/>
        <w:b/>
        <w:bCs/>
        <w:sz w:val="18"/>
        <w:szCs w:val="18"/>
      </w:rPr>
      <w:fldChar w:fldCharType="separate"/>
    </w:r>
    <w:r w:rsidRPr="00F840C0">
      <w:rPr>
        <w:rFonts w:ascii="Arial" w:hAnsi="Arial" w:cs="Arial"/>
        <w:b/>
        <w:bCs/>
        <w:sz w:val="18"/>
        <w:szCs w:val="18"/>
      </w:rPr>
      <w:t>2</w:t>
    </w:r>
    <w:r w:rsidRPr="00F840C0">
      <w:rPr>
        <w:rFonts w:ascii="Arial" w:hAnsi="Arial" w:cs="Arial"/>
        <w:b/>
        <w:bCs/>
        <w:sz w:val="18"/>
        <w:szCs w:val="18"/>
      </w:rPr>
      <w:fldChar w:fldCharType="end"/>
    </w:r>
    <w:r w:rsidRPr="00F840C0">
      <w:rPr>
        <w:rFonts w:ascii="Arial" w:hAnsi="Arial" w:cs="Arial"/>
        <w:sz w:val="18"/>
        <w:szCs w:val="18"/>
      </w:rPr>
      <w:t xml:space="preserve"> of </w:t>
    </w:r>
    <w:r w:rsidRPr="00F840C0">
      <w:rPr>
        <w:rFonts w:ascii="Arial" w:hAnsi="Arial" w:cs="Arial"/>
        <w:b/>
        <w:bCs/>
        <w:sz w:val="18"/>
        <w:szCs w:val="18"/>
      </w:rPr>
      <w:fldChar w:fldCharType="begin"/>
    </w:r>
    <w:r w:rsidRPr="00F840C0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F840C0">
      <w:rPr>
        <w:rFonts w:ascii="Arial" w:hAnsi="Arial" w:cs="Arial"/>
        <w:b/>
        <w:bCs/>
        <w:sz w:val="18"/>
        <w:szCs w:val="18"/>
      </w:rPr>
      <w:fldChar w:fldCharType="separate"/>
    </w:r>
    <w:r w:rsidRPr="00F840C0">
      <w:rPr>
        <w:rFonts w:ascii="Arial" w:hAnsi="Arial" w:cs="Arial"/>
        <w:b/>
        <w:bCs/>
        <w:sz w:val="18"/>
        <w:szCs w:val="18"/>
      </w:rPr>
      <w:t>2</w:t>
    </w:r>
    <w:r w:rsidRPr="00F840C0">
      <w:rPr>
        <w:rFonts w:ascii="Arial" w:hAnsi="Arial" w:cs="Arial"/>
        <w:b/>
        <w:bCs/>
        <w:sz w:val="18"/>
        <w:szCs w:val="18"/>
      </w:rPr>
      <w:fldChar w:fldCharType="end"/>
    </w:r>
  </w:p>
  <w:p w14:paraId="64B1146B" w14:textId="3978D786" w:rsidR="00735C97" w:rsidRPr="00F840C0" w:rsidRDefault="00735C97" w:rsidP="00735C97">
    <w:pPr>
      <w:pStyle w:val="Footer"/>
      <w:jc w:val="center"/>
      <w:rPr>
        <w:rFonts w:ascii="Arial" w:hAnsi="Arial" w:cs="Arial"/>
        <w:sz w:val="18"/>
        <w:szCs w:val="18"/>
      </w:rPr>
    </w:pPr>
    <w:r w:rsidRPr="00F840C0">
      <w:rPr>
        <w:rFonts w:ascii="Arial" w:hAnsi="Arial" w:cs="Arial"/>
        <w:b/>
        <w:bCs/>
        <w:sz w:val="18"/>
        <w:szCs w:val="18"/>
      </w:rPr>
      <w:t>Huron HRPP Toolkit</w:t>
    </w:r>
    <w:r w:rsidR="004B29D5" w:rsidRPr="00F840C0">
      <w:rPr>
        <w:rFonts w:ascii="Arial" w:hAnsi="Arial" w:cs="Arial"/>
        <w:b/>
        <w:bCs/>
        <w:sz w:val="18"/>
        <w:szCs w:val="18"/>
      </w:rPr>
      <w:t xml:space="preserve"> </w:t>
    </w:r>
    <w:r w:rsidRPr="00F840C0">
      <w:rPr>
        <w:rFonts w:ascii="Arial" w:hAnsi="Arial" w:cs="Arial"/>
        <w:b/>
        <w:bCs/>
        <w:sz w:val="18"/>
        <w:szCs w:val="18"/>
      </w:rPr>
      <w:t>©</w:t>
    </w:r>
    <w:r w:rsidR="00EC7423" w:rsidRPr="00F840C0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F840C0">
      <w:rPr>
        <w:rFonts w:ascii="Arial" w:hAnsi="Arial" w:cs="Arial"/>
        <w:b/>
        <w:bCs/>
        <w:sz w:val="18"/>
        <w:szCs w:val="18"/>
      </w:rPr>
      <w:t xml:space="preserve"> </w:t>
    </w:r>
    <w:r w:rsidR="004B29D5" w:rsidRPr="00F840C0">
      <w:rPr>
        <w:rFonts w:ascii="Arial" w:hAnsi="Arial" w:cs="Arial"/>
        <w:b/>
        <w:bCs/>
        <w:sz w:val="18"/>
        <w:szCs w:val="18"/>
      </w:rPr>
      <w:t>Ver</w:t>
    </w:r>
    <w:r w:rsidR="00094426" w:rsidRPr="00F840C0">
      <w:rPr>
        <w:rFonts w:ascii="Arial" w:hAnsi="Arial" w:cs="Arial"/>
        <w:b/>
        <w:bCs/>
        <w:sz w:val="18"/>
        <w:szCs w:val="18"/>
      </w:rPr>
      <w:t>si</w:t>
    </w:r>
    <w:r w:rsidR="004B29D5" w:rsidRPr="00F840C0">
      <w:rPr>
        <w:rFonts w:ascii="Arial" w:hAnsi="Arial" w:cs="Arial"/>
        <w:b/>
        <w:bCs/>
        <w:sz w:val="18"/>
        <w:szCs w:val="18"/>
      </w:rPr>
      <w:t xml:space="preserve">on </w:t>
    </w:r>
    <w:r>
      <w:rPr>
        <w:rFonts w:ascii="Arial" w:hAnsi="Arial" w:cs="Arial"/>
        <w:b/>
        <w:bCs/>
        <w:sz w:val="18"/>
        <w:szCs w:val="18"/>
      </w:rPr>
      <w:t>5.4</w:t>
    </w:r>
    <w:r w:rsidRPr="00F840C0">
      <w:rPr>
        <w:rFonts w:ascii="Arial" w:hAnsi="Arial" w:cs="Arial"/>
        <w:b/>
        <w:bCs/>
        <w:sz w:val="18"/>
        <w:szCs w:val="18"/>
      </w:rPr>
      <w:t xml:space="preserve"> </w:t>
    </w:r>
    <w:r w:rsidRPr="00F840C0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B882" w14:textId="77777777" w:rsidR="004B01F1" w:rsidRDefault="004B01F1" w:rsidP="00855EE6">
      <w:pPr>
        <w:spacing w:after="0" w:line="240" w:lineRule="auto"/>
      </w:pPr>
      <w:r>
        <w:separator/>
      </w:r>
    </w:p>
  </w:footnote>
  <w:footnote w:type="continuationSeparator" w:id="0">
    <w:p w14:paraId="3055D738" w14:textId="77777777" w:rsidR="004B01F1" w:rsidRDefault="004B01F1" w:rsidP="00855EE6">
      <w:pPr>
        <w:spacing w:after="0" w:line="240" w:lineRule="auto"/>
      </w:pPr>
      <w:r>
        <w:continuationSeparator/>
      </w:r>
    </w:p>
  </w:footnote>
  <w:footnote w:type="continuationNotice" w:id="1">
    <w:p w14:paraId="54DB34D9" w14:textId="77777777" w:rsidR="004B01F1" w:rsidRDefault="004B01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5459EDE1" w:rsidR="00397D6B" w:rsidRDefault="00FA1A36" w:rsidP="007B0816">
    <w:pPr>
      <w:pStyle w:val="Header"/>
      <w:jc w:val="center"/>
    </w:pPr>
    <w:r w:rsidRPr="00AC7632">
      <w:rPr>
        <w:noProof/>
      </w:rPr>
      <w:drawing>
        <wp:inline distT="0" distB="0" distL="0" distR="0" wp14:anchorId="1D301D02" wp14:editId="59D58694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7607A1" w14:textId="77777777" w:rsidR="007B0816" w:rsidRDefault="007B0816" w:rsidP="007B08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89837715">
    <w:abstractNumId w:val="1"/>
  </w:num>
  <w:num w:numId="2" w16cid:durableId="1544753121">
    <w:abstractNumId w:val="2"/>
  </w:num>
  <w:num w:numId="3" w16cid:durableId="1860311125">
    <w:abstractNumId w:val="0"/>
  </w:num>
  <w:num w:numId="4" w16cid:durableId="99603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1MTQ3NjM2ANIWFko6SsGpxcWZ+XkgBYa1ALM+JqwsAAAA"/>
    <w:docVar w:name="HDFieldAppearanceNeedsUpdate" w:val="False"/>
  </w:docVars>
  <w:rsids>
    <w:rsidRoot w:val="00855EE6"/>
    <w:rsid w:val="00066618"/>
    <w:rsid w:val="00073852"/>
    <w:rsid w:val="00082AFF"/>
    <w:rsid w:val="00094426"/>
    <w:rsid w:val="00095BC7"/>
    <w:rsid w:val="00097C68"/>
    <w:rsid w:val="000B204E"/>
    <w:rsid w:val="000B331E"/>
    <w:rsid w:val="000D3395"/>
    <w:rsid w:val="000E220B"/>
    <w:rsid w:val="000F5F1B"/>
    <w:rsid w:val="001016DE"/>
    <w:rsid w:val="00112F1A"/>
    <w:rsid w:val="001248E9"/>
    <w:rsid w:val="001274FF"/>
    <w:rsid w:val="00150F7C"/>
    <w:rsid w:val="001837D4"/>
    <w:rsid w:val="001B6E8A"/>
    <w:rsid w:val="001C26D8"/>
    <w:rsid w:val="001F7366"/>
    <w:rsid w:val="00203445"/>
    <w:rsid w:val="00216912"/>
    <w:rsid w:val="00230A04"/>
    <w:rsid w:val="002576C1"/>
    <w:rsid w:val="00272E9B"/>
    <w:rsid w:val="00277286"/>
    <w:rsid w:val="002A0DD4"/>
    <w:rsid w:val="002B681F"/>
    <w:rsid w:val="00326316"/>
    <w:rsid w:val="00326970"/>
    <w:rsid w:val="00335231"/>
    <w:rsid w:val="0034262A"/>
    <w:rsid w:val="0035722D"/>
    <w:rsid w:val="00376FA0"/>
    <w:rsid w:val="0039037F"/>
    <w:rsid w:val="00397D6B"/>
    <w:rsid w:val="003D7CE2"/>
    <w:rsid w:val="003E5AE2"/>
    <w:rsid w:val="003F35F5"/>
    <w:rsid w:val="003F58A8"/>
    <w:rsid w:val="00413B76"/>
    <w:rsid w:val="00432636"/>
    <w:rsid w:val="00433C87"/>
    <w:rsid w:val="004709CB"/>
    <w:rsid w:val="004B01F1"/>
    <w:rsid w:val="004B05DE"/>
    <w:rsid w:val="004B29D5"/>
    <w:rsid w:val="004E2CCD"/>
    <w:rsid w:val="004F6FE6"/>
    <w:rsid w:val="00512CDD"/>
    <w:rsid w:val="0051484D"/>
    <w:rsid w:val="00562593"/>
    <w:rsid w:val="005678B9"/>
    <w:rsid w:val="00570F96"/>
    <w:rsid w:val="00574247"/>
    <w:rsid w:val="00581889"/>
    <w:rsid w:val="005846F1"/>
    <w:rsid w:val="00587117"/>
    <w:rsid w:val="0059053B"/>
    <w:rsid w:val="005C5C4B"/>
    <w:rsid w:val="005E4C53"/>
    <w:rsid w:val="00612FDA"/>
    <w:rsid w:val="0062282F"/>
    <w:rsid w:val="00625EFE"/>
    <w:rsid w:val="006264A0"/>
    <w:rsid w:val="00636276"/>
    <w:rsid w:val="00650A58"/>
    <w:rsid w:val="00675EB8"/>
    <w:rsid w:val="006844F4"/>
    <w:rsid w:val="00695219"/>
    <w:rsid w:val="006C3173"/>
    <w:rsid w:val="006C6997"/>
    <w:rsid w:val="006C7339"/>
    <w:rsid w:val="006F23D2"/>
    <w:rsid w:val="00735C97"/>
    <w:rsid w:val="007469E0"/>
    <w:rsid w:val="0076301A"/>
    <w:rsid w:val="007960E8"/>
    <w:rsid w:val="007A2FAC"/>
    <w:rsid w:val="007B0816"/>
    <w:rsid w:val="007D3DCC"/>
    <w:rsid w:val="007E79E2"/>
    <w:rsid w:val="00821C23"/>
    <w:rsid w:val="0084152D"/>
    <w:rsid w:val="0085349B"/>
    <w:rsid w:val="00855EE6"/>
    <w:rsid w:val="0086083E"/>
    <w:rsid w:val="00871007"/>
    <w:rsid w:val="00872DA6"/>
    <w:rsid w:val="008901DF"/>
    <w:rsid w:val="00891FE9"/>
    <w:rsid w:val="00892392"/>
    <w:rsid w:val="00893D51"/>
    <w:rsid w:val="008A6C9E"/>
    <w:rsid w:val="008B0231"/>
    <w:rsid w:val="008B32E5"/>
    <w:rsid w:val="008B3D20"/>
    <w:rsid w:val="008C05C6"/>
    <w:rsid w:val="008C39F8"/>
    <w:rsid w:val="008D27D0"/>
    <w:rsid w:val="008E1EE7"/>
    <w:rsid w:val="00915462"/>
    <w:rsid w:val="00917358"/>
    <w:rsid w:val="009C1EE8"/>
    <w:rsid w:val="009E13A9"/>
    <w:rsid w:val="009E7A96"/>
    <w:rsid w:val="00A42255"/>
    <w:rsid w:val="00A4561A"/>
    <w:rsid w:val="00A53222"/>
    <w:rsid w:val="00A677E2"/>
    <w:rsid w:val="00A91666"/>
    <w:rsid w:val="00AA3A95"/>
    <w:rsid w:val="00AB6444"/>
    <w:rsid w:val="00AC2F0C"/>
    <w:rsid w:val="00AC4ED1"/>
    <w:rsid w:val="00B23768"/>
    <w:rsid w:val="00B23D93"/>
    <w:rsid w:val="00B54DF7"/>
    <w:rsid w:val="00B61F4A"/>
    <w:rsid w:val="00BB2AC7"/>
    <w:rsid w:val="00BB5F0D"/>
    <w:rsid w:val="00BC6022"/>
    <w:rsid w:val="00BF2F85"/>
    <w:rsid w:val="00C11900"/>
    <w:rsid w:val="00C265C8"/>
    <w:rsid w:val="00C468AA"/>
    <w:rsid w:val="00C536C2"/>
    <w:rsid w:val="00C75CAF"/>
    <w:rsid w:val="00C97E43"/>
    <w:rsid w:val="00CA04CE"/>
    <w:rsid w:val="00CA3EB7"/>
    <w:rsid w:val="00CD6AD6"/>
    <w:rsid w:val="00CE106A"/>
    <w:rsid w:val="00D159DE"/>
    <w:rsid w:val="00D35E6A"/>
    <w:rsid w:val="00D7279F"/>
    <w:rsid w:val="00D84CF0"/>
    <w:rsid w:val="00D926D2"/>
    <w:rsid w:val="00E0288C"/>
    <w:rsid w:val="00E03D8D"/>
    <w:rsid w:val="00E173A6"/>
    <w:rsid w:val="00E33C34"/>
    <w:rsid w:val="00E34769"/>
    <w:rsid w:val="00E61D55"/>
    <w:rsid w:val="00E97EBE"/>
    <w:rsid w:val="00EA4EA1"/>
    <w:rsid w:val="00EC7423"/>
    <w:rsid w:val="00EE39FA"/>
    <w:rsid w:val="00EF642F"/>
    <w:rsid w:val="00F02424"/>
    <w:rsid w:val="00F116D8"/>
    <w:rsid w:val="00F21D47"/>
    <w:rsid w:val="00F40567"/>
    <w:rsid w:val="00F80504"/>
    <w:rsid w:val="00F840C0"/>
    <w:rsid w:val="00F84AEF"/>
    <w:rsid w:val="00FA1A36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534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2E27B-56B4-430C-ADD1-900C96891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91093-4921-4E59-9D85-21C42F32A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BDE2C-7CDC-49C0-9BA0-DACAF366A174}">
  <ds:schemaRefs>
    <ds:schemaRef ds:uri="http://schemas.microsoft.com/office/2006/documentManagement/types"/>
    <ds:schemaRef ds:uri="be7ac594-3fae-45a5-acf2-6503baaf7c5f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2026-06-05T21:18:00Z</dcterms:created>
  <dcterms:modified xsi:type="dcterms:W3CDTF">2026-06-12T18:16:00Z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