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63E4" w14:textId="4689155B" w:rsidR="0026264A" w:rsidRDefault="0026264A" w:rsidP="0026264A">
      <w:pPr>
        <w:pStyle w:val="SOPLevel1"/>
        <w:numPr>
          <w:ilvl w:val="0"/>
          <w:numId w:val="0"/>
        </w:numPr>
        <w:spacing w:before="120" w:after="120"/>
        <w:ind w:left="360" w:hanging="360"/>
        <w:rPr>
          <w:sz w:val="22"/>
          <w:szCs w:val="22"/>
        </w:rPr>
      </w:pPr>
    </w:p>
    <w:p w14:paraId="5DEF25B6" w14:textId="4B09E4D8" w:rsidR="003B4CAC" w:rsidRPr="00E03D8D" w:rsidRDefault="003B4CAC" w:rsidP="003B4CAC">
      <w:pPr>
        <w:spacing w:after="0"/>
        <w:jc w:val="center"/>
        <w:rPr>
          <w:rFonts w:ascii="Arial" w:hAnsi="Arial" w:cs="Arial"/>
        </w:rPr>
      </w:pPr>
      <w:r w:rsidRPr="00E03D8D">
        <w:rPr>
          <w:rFonts w:ascii="Arial" w:hAnsi="Arial" w:cs="Arial"/>
        </w:rPr>
        <w:t>HRP-</w:t>
      </w:r>
      <w:r>
        <w:rPr>
          <w:rFonts w:ascii="Arial" w:hAnsi="Arial" w:cs="Arial"/>
        </w:rPr>
        <w:t>0</w:t>
      </w:r>
      <w:r w:rsidR="007C6487">
        <w:rPr>
          <w:rFonts w:ascii="Arial" w:hAnsi="Arial" w:cs="Arial"/>
        </w:rPr>
        <w:t>45</w:t>
      </w:r>
      <w:r w:rsidRPr="00E03D8D">
        <w:rPr>
          <w:rFonts w:ascii="Arial" w:hAnsi="Arial" w:cs="Arial"/>
        </w:rPr>
        <w:t xml:space="preserve"> |</w:t>
      </w:r>
      <w:r>
        <w:rPr>
          <w:rFonts w:ascii="Arial" w:hAnsi="Arial" w:cs="Arial"/>
        </w:rPr>
        <w:t xml:space="preserve"> </w:t>
      </w:r>
      <w:r w:rsidR="004B0FF8">
        <w:rPr>
          <w:rFonts w:ascii="Arial" w:hAnsi="Arial" w:cs="Arial"/>
        </w:rPr>
        <w:t>06/1</w:t>
      </w:r>
      <w:r w:rsidR="00C15B38">
        <w:rPr>
          <w:rFonts w:ascii="Arial" w:hAnsi="Arial" w:cs="Arial"/>
        </w:rPr>
        <w:t>5</w:t>
      </w:r>
      <w:r>
        <w:rPr>
          <w:rFonts w:ascii="Arial" w:hAnsi="Arial" w:cs="Arial"/>
        </w:rPr>
        <w:t>/2026</w:t>
      </w:r>
      <w:r w:rsidRPr="00E03D8D">
        <w:rPr>
          <w:rFonts w:ascii="Arial" w:hAnsi="Arial" w:cs="Arial"/>
        </w:rPr>
        <w:t xml:space="preserve"> | </w:t>
      </w:r>
      <w:r>
        <w:rPr>
          <w:rFonts w:ascii="Arial" w:hAnsi="Arial" w:cs="Arial"/>
        </w:rPr>
        <w:t xml:space="preserve">Owner: </w:t>
      </w:r>
      <w:r w:rsidR="007C6487">
        <w:rPr>
          <w:rFonts w:ascii="Arial" w:hAnsi="Arial" w:cs="Arial"/>
        </w:rPr>
        <w:t>M. Brackeen</w:t>
      </w:r>
      <w:r>
        <w:rPr>
          <w:rFonts w:ascii="Arial" w:hAnsi="Arial" w:cs="Arial"/>
        </w:rPr>
        <w:t xml:space="preserve"> | Approver: D. Durbin</w:t>
      </w:r>
    </w:p>
    <w:p w14:paraId="3A86B1A0" w14:textId="77777777" w:rsidR="003B4CAC" w:rsidRPr="00E03D8D" w:rsidRDefault="003B4CAC" w:rsidP="003B4CAC">
      <w:pPr>
        <w:spacing w:after="0"/>
      </w:pPr>
    </w:p>
    <w:p w14:paraId="5C59204A" w14:textId="26E2AE69" w:rsidR="003B4CAC" w:rsidRPr="00E03D8D" w:rsidRDefault="003B4CAC" w:rsidP="00E57C91">
      <w:pPr>
        <w:pStyle w:val="DocumentTitle-HCG"/>
        <w:rPr>
          <w:szCs w:val="32"/>
        </w:rPr>
      </w:pPr>
      <w:r w:rsidRPr="00E03D8D">
        <w:rPr>
          <w:szCs w:val="32"/>
        </w:rPr>
        <w:t xml:space="preserve">SOP: </w:t>
      </w:r>
      <w:r w:rsidR="007C6487" w:rsidRPr="007C6487">
        <w:rPr>
          <w:szCs w:val="32"/>
        </w:rPr>
        <w:t xml:space="preserve">Submitting an IND or IDE </w:t>
      </w:r>
    </w:p>
    <w:p w14:paraId="22145D05" w14:textId="77777777" w:rsidR="0026264A" w:rsidRDefault="0026264A" w:rsidP="00C739F2">
      <w:pPr>
        <w:pStyle w:val="SOPLevel1"/>
        <w:numPr>
          <w:ilvl w:val="0"/>
          <w:numId w:val="0"/>
        </w:numPr>
        <w:spacing w:before="120" w:after="120"/>
        <w:ind w:left="360" w:hanging="360"/>
        <w:rPr>
          <w:sz w:val="22"/>
          <w:szCs w:val="22"/>
        </w:rPr>
      </w:pPr>
    </w:p>
    <w:p w14:paraId="53402FA5" w14:textId="7241E948" w:rsidR="00042D92" w:rsidRPr="00C739F2" w:rsidRDefault="00042D92" w:rsidP="004B0FF8">
      <w:pPr>
        <w:pStyle w:val="SOPLevel1"/>
        <w:numPr>
          <w:ilvl w:val="0"/>
          <w:numId w:val="2"/>
        </w:numPr>
        <w:spacing w:before="0" w:after="0" w:line="276" w:lineRule="auto"/>
        <w:rPr>
          <w:sz w:val="22"/>
          <w:szCs w:val="22"/>
        </w:rPr>
      </w:pPr>
      <w:r w:rsidRPr="00C739F2">
        <w:rPr>
          <w:sz w:val="22"/>
          <w:szCs w:val="22"/>
        </w:rPr>
        <w:t>PURPOSE</w:t>
      </w:r>
    </w:p>
    <w:p w14:paraId="241F1879" w14:textId="5D726329" w:rsidR="00A10187" w:rsidRPr="00A10187" w:rsidRDefault="00A361D7" w:rsidP="004B0FF8">
      <w:pPr>
        <w:pStyle w:val="SOPLevel2"/>
        <w:spacing w:before="0" w:after="0" w:line="276" w:lineRule="auto"/>
      </w:pPr>
      <w:r w:rsidRPr="004B0FF8">
        <w:rPr>
          <w:sz w:val="22"/>
          <w:szCs w:val="22"/>
        </w:rPr>
        <w:t xml:space="preserve">This procedure establishes the process for </w:t>
      </w:r>
      <w:r w:rsidR="00A10187" w:rsidRPr="004B0FF8">
        <w:rPr>
          <w:sz w:val="22"/>
          <w:szCs w:val="22"/>
        </w:rPr>
        <w:t>FDA authorization through an IND, or documentation supporting an IND exemption determination.</w:t>
      </w:r>
    </w:p>
    <w:p w14:paraId="53402FAC" w14:textId="77777777" w:rsidR="00042D92" w:rsidRPr="004B0FF8" w:rsidRDefault="00042D92" w:rsidP="004B0FF8">
      <w:pPr>
        <w:pStyle w:val="SOPLevel1"/>
        <w:spacing w:before="0" w:after="0" w:line="276" w:lineRule="auto"/>
        <w:rPr>
          <w:sz w:val="22"/>
          <w:szCs w:val="28"/>
        </w:rPr>
      </w:pPr>
      <w:r w:rsidRPr="004B0FF8">
        <w:rPr>
          <w:sz w:val="22"/>
          <w:szCs w:val="28"/>
        </w:rPr>
        <w:t>REVISIONS FROM PREVIOUS VERSION</w:t>
      </w:r>
    </w:p>
    <w:p w14:paraId="6B99E014" w14:textId="77777777" w:rsidR="00FE2A2D" w:rsidRDefault="00FE2A2D" w:rsidP="00F7614B">
      <w:pPr>
        <w:pStyle w:val="SOPLevel2"/>
        <w:spacing w:before="0" w:after="0" w:line="276" w:lineRule="auto"/>
        <w:rPr>
          <w:sz w:val="22"/>
          <w:szCs w:val="22"/>
        </w:rPr>
      </w:pPr>
      <w:r>
        <w:rPr>
          <w:sz w:val="22"/>
          <w:szCs w:val="22"/>
        </w:rPr>
        <w:t xml:space="preserve">Section 4- Policy: Revised and updated language based on FDA regulations </w:t>
      </w:r>
    </w:p>
    <w:p w14:paraId="70274CA1" w14:textId="41553763" w:rsidR="005F71EF" w:rsidRDefault="00FE2A2D" w:rsidP="00F7614B">
      <w:pPr>
        <w:pStyle w:val="SOPLevel2"/>
        <w:spacing w:before="0" w:after="0" w:line="276" w:lineRule="auto"/>
        <w:rPr>
          <w:sz w:val="22"/>
          <w:szCs w:val="22"/>
        </w:rPr>
      </w:pPr>
      <w:r>
        <w:rPr>
          <w:sz w:val="22"/>
          <w:szCs w:val="22"/>
        </w:rPr>
        <w:t xml:space="preserve">Section 6- </w:t>
      </w:r>
      <w:r w:rsidR="005F71EF">
        <w:rPr>
          <w:sz w:val="22"/>
          <w:szCs w:val="22"/>
        </w:rPr>
        <w:t>Procedure</w:t>
      </w:r>
      <w:r>
        <w:rPr>
          <w:sz w:val="22"/>
          <w:szCs w:val="22"/>
        </w:rPr>
        <w:t>: Revise</w:t>
      </w:r>
      <w:r w:rsidR="00DB7F20">
        <w:rPr>
          <w:sz w:val="22"/>
          <w:szCs w:val="22"/>
        </w:rPr>
        <w:t>d</w:t>
      </w:r>
      <w:r>
        <w:rPr>
          <w:sz w:val="22"/>
          <w:szCs w:val="22"/>
        </w:rPr>
        <w:t xml:space="preserve"> process to align with</w:t>
      </w:r>
      <w:r w:rsidR="005F71EF">
        <w:rPr>
          <w:sz w:val="22"/>
          <w:szCs w:val="22"/>
        </w:rPr>
        <w:t xml:space="preserve"> NCH IRB and ORRA processes.</w:t>
      </w:r>
    </w:p>
    <w:p w14:paraId="2CE9C87C" w14:textId="4068F45A" w:rsidR="008E649D" w:rsidRPr="00DD2911" w:rsidRDefault="008E649D" w:rsidP="004B0FF8">
      <w:pPr>
        <w:pStyle w:val="SOPLevel2"/>
        <w:rPr>
          <w:sz w:val="22"/>
          <w:szCs w:val="22"/>
        </w:rPr>
      </w:pPr>
      <w:r>
        <w:rPr>
          <w:sz w:val="22"/>
          <w:szCs w:val="22"/>
        </w:rPr>
        <w:t xml:space="preserve">Section 8- References: </w:t>
      </w:r>
      <w:r w:rsidR="00DD2911">
        <w:rPr>
          <w:sz w:val="22"/>
          <w:szCs w:val="22"/>
        </w:rPr>
        <w:t>P</w:t>
      </w:r>
      <w:r w:rsidR="00DD2911" w:rsidRPr="00DD2911">
        <w:rPr>
          <w:sz w:val="22"/>
          <w:szCs w:val="22"/>
        </w:rPr>
        <w:t xml:space="preserve">rovided additional resources from FDA on IND and IDE regulations. </w:t>
      </w:r>
      <w:r w:rsidRPr="00DD2911">
        <w:rPr>
          <w:sz w:val="22"/>
          <w:szCs w:val="22"/>
        </w:rPr>
        <w:t xml:space="preserve"> </w:t>
      </w:r>
    </w:p>
    <w:p w14:paraId="6A89C4EA" w14:textId="7FB8A992" w:rsidR="00E742D1" w:rsidRDefault="00E742D1" w:rsidP="004B0FF8">
      <w:pPr>
        <w:pStyle w:val="SOPLevel1"/>
        <w:spacing w:before="0" w:after="0"/>
        <w:rPr>
          <w:sz w:val="22"/>
          <w:szCs w:val="22"/>
        </w:rPr>
      </w:pPr>
      <w:r w:rsidRPr="00C739F2">
        <w:rPr>
          <w:sz w:val="22"/>
          <w:szCs w:val="22"/>
        </w:rPr>
        <w:t>DEFINITIONS</w:t>
      </w:r>
    </w:p>
    <w:p w14:paraId="0E00718D" w14:textId="385588ED" w:rsidR="005F35F3" w:rsidRPr="004B0FF8" w:rsidRDefault="005F35F3" w:rsidP="008E649D">
      <w:pPr>
        <w:pStyle w:val="SOPLevel2"/>
        <w:ind w:left="1260" w:hanging="540"/>
        <w:rPr>
          <w:sz w:val="22"/>
          <w:szCs w:val="28"/>
        </w:rPr>
      </w:pPr>
      <w:r w:rsidRPr="004B0FF8">
        <w:rPr>
          <w:b/>
          <w:bCs/>
          <w:sz w:val="22"/>
          <w:szCs w:val="28"/>
        </w:rPr>
        <w:t xml:space="preserve">Significant Risk Device: </w:t>
      </w:r>
      <w:r w:rsidRPr="004B0FF8">
        <w:rPr>
          <w:sz w:val="22"/>
          <w:szCs w:val="28"/>
        </w:rPr>
        <w:t>A device that presents a potential for serious risk to the health, safety or welfare of a subject, that is: (a) intended to be implanted AND/OR  (b) is intended to support or sustain human life AND/OR (c) has substantial importance in diagnosing, curing, mitigating, or treating disease, or otherwise preventing impairment of human health OR (d) other situations where serious risks may apply.</w:t>
      </w:r>
    </w:p>
    <w:p w14:paraId="4665D3CD" w14:textId="7DE4BB14" w:rsidR="005F35F3" w:rsidRPr="004B0FF8" w:rsidRDefault="005F35F3" w:rsidP="005F35F3">
      <w:pPr>
        <w:pStyle w:val="SOPLevel2"/>
        <w:rPr>
          <w:sz w:val="22"/>
          <w:szCs w:val="28"/>
        </w:rPr>
      </w:pPr>
      <w:r w:rsidRPr="004B0FF8">
        <w:rPr>
          <w:b/>
          <w:bCs/>
          <w:sz w:val="22"/>
          <w:szCs w:val="28"/>
        </w:rPr>
        <w:t xml:space="preserve">Nonsignificant Risk Device: </w:t>
      </w:r>
      <w:r w:rsidRPr="004B0FF8">
        <w:rPr>
          <w:sz w:val="22"/>
          <w:szCs w:val="28"/>
        </w:rPr>
        <w:t>One that does not meet the criteria above.</w:t>
      </w:r>
    </w:p>
    <w:p w14:paraId="63E854CF" w14:textId="0B73039F" w:rsidR="005F35F3" w:rsidRPr="004B0FF8" w:rsidRDefault="005B5067" w:rsidP="005F35F3">
      <w:pPr>
        <w:pStyle w:val="SOPLevel2"/>
        <w:rPr>
          <w:sz w:val="22"/>
          <w:szCs w:val="28"/>
        </w:rPr>
      </w:pPr>
      <w:r w:rsidRPr="004B0FF8">
        <w:rPr>
          <w:b/>
          <w:bCs/>
          <w:sz w:val="22"/>
          <w:szCs w:val="28"/>
        </w:rPr>
        <w:t xml:space="preserve">Additional Information </w:t>
      </w:r>
    </w:p>
    <w:p w14:paraId="59F8949F" w14:textId="77777777" w:rsidR="005B5067" w:rsidRPr="004B0FF8" w:rsidRDefault="005B5067" w:rsidP="004B0FF8">
      <w:pPr>
        <w:pStyle w:val="SOPLevel3"/>
        <w:rPr>
          <w:b/>
          <w:sz w:val="22"/>
          <w:szCs w:val="28"/>
        </w:rPr>
      </w:pPr>
      <w:r w:rsidRPr="004B0FF8">
        <w:rPr>
          <w:sz w:val="22"/>
          <w:szCs w:val="28"/>
        </w:rPr>
        <w:t>Please refer to page 3 of the FDA guidance regarding SR versus NSR devices:</w:t>
      </w:r>
    </w:p>
    <w:p w14:paraId="306A8349" w14:textId="77777777" w:rsidR="005B5067" w:rsidRPr="004B0FF8" w:rsidRDefault="005B5067" w:rsidP="004B0FF8">
      <w:pPr>
        <w:pStyle w:val="SOPLevel1"/>
        <w:numPr>
          <w:ilvl w:val="0"/>
          <w:numId w:val="0"/>
        </w:numPr>
        <w:ind w:left="2160"/>
        <w:rPr>
          <w:sz w:val="22"/>
          <w:szCs w:val="28"/>
        </w:rPr>
      </w:pPr>
      <w:r w:rsidRPr="004B0FF8">
        <w:rPr>
          <w:sz w:val="22"/>
          <w:szCs w:val="28"/>
        </w:rPr>
        <w:t>https://www.fda.gov/media/75459/download</w:t>
      </w:r>
    </w:p>
    <w:p w14:paraId="31434D5D" w14:textId="647B9C85" w:rsidR="005B5067" w:rsidRPr="004B0FF8" w:rsidRDefault="005B5067" w:rsidP="004B0FF8">
      <w:pPr>
        <w:pStyle w:val="SOPLevel3"/>
        <w:ind w:left="2070" w:hanging="774"/>
        <w:rPr>
          <w:sz w:val="22"/>
          <w:szCs w:val="28"/>
        </w:rPr>
      </w:pPr>
      <w:r w:rsidRPr="004B0FF8">
        <w:rPr>
          <w:sz w:val="22"/>
          <w:szCs w:val="28"/>
        </w:rPr>
        <w:t>NOTE: In addition to formal IRB review and approval, there are studies involving drugs that will also require prior FDA clearance in the form of an IND exemption. This applies not only to studies investigating unapproved drugs but may also apply to studies in which an approved drug is being evaluated. For devices, studies involving investigational devices OR involving approved devices but being used in a non-approved manner, may require FDA clearance as well in the form of an IDE.</w:t>
      </w:r>
    </w:p>
    <w:p w14:paraId="53402FAE" w14:textId="300044EF" w:rsidR="00042D92" w:rsidRPr="00C739F2" w:rsidRDefault="00042D92" w:rsidP="00E57C91">
      <w:pPr>
        <w:pStyle w:val="SOPLevel1"/>
        <w:spacing w:before="120" w:after="120"/>
        <w:rPr>
          <w:sz w:val="22"/>
          <w:szCs w:val="22"/>
        </w:rPr>
      </w:pPr>
      <w:r w:rsidRPr="00C739F2">
        <w:rPr>
          <w:sz w:val="22"/>
          <w:szCs w:val="22"/>
        </w:rPr>
        <w:t>POLICY</w:t>
      </w:r>
    </w:p>
    <w:p w14:paraId="15614D82" w14:textId="1061D4A5" w:rsidR="00E742D1" w:rsidRPr="00C739F2" w:rsidRDefault="00E742D1" w:rsidP="00E57C91">
      <w:pPr>
        <w:pStyle w:val="SOPLevel2"/>
        <w:rPr>
          <w:sz w:val="22"/>
          <w:szCs w:val="22"/>
        </w:rPr>
      </w:pPr>
      <w:r w:rsidRPr="00C739F2">
        <w:rPr>
          <w:sz w:val="22"/>
          <w:szCs w:val="22"/>
        </w:rPr>
        <w:t>IND (Investigational New Drug)</w:t>
      </w:r>
    </w:p>
    <w:p w14:paraId="5D546ED3" w14:textId="6729CB97" w:rsidR="00E742D1" w:rsidRPr="00C739F2" w:rsidRDefault="00E742D1" w:rsidP="00C739F2">
      <w:pPr>
        <w:pStyle w:val="SOPLevel3"/>
        <w:ind w:left="1620" w:hanging="684"/>
        <w:rPr>
          <w:sz w:val="22"/>
          <w:szCs w:val="22"/>
        </w:rPr>
      </w:pPr>
      <w:r w:rsidRPr="00C739F2">
        <w:rPr>
          <w:sz w:val="22"/>
          <w:szCs w:val="22"/>
        </w:rPr>
        <w:t>All Studies involving</w:t>
      </w:r>
      <w:r w:rsidR="008E4317">
        <w:rPr>
          <w:sz w:val="22"/>
          <w:szCs w:val="22"/>
        </w:rPr>
        <w:t xml:space="preserve"> </w:t>
      </w:r>
      <w:r w:rsidRPr="00C739F2">
        <w:rPr>
          <w:sz w:val="22"/>
          <w:szCs w:val="22"/>
        </w:rPr>
        <w:t>an</w:t>
      </w:r>
      <w:r w:rsidR="008E4317">
        <w:rPr>
          <w:sz w:val="22"/>
          <w:szCs w:val="22"/>
        </w:rPr>
        <w:t xml:space="preserve"> </w:t>
      </w:r>
      <w:r w:rsidRPr="00C739F2">
        <w:rPr>
          <w:sz w:val="22"/>
          <w:szCs w:val="22"/>
        </w:rPr>
        <w:t>unapproved drug (i.e., not FDA</w:t>
      </w:r>
      <w:r w:rsidR="008E4317">
        <w:rPr>
          <w:sz w:val="22"/>
          <w:szCs w:val="22"/>
        </w:rPr>
        <w:t xml:space="preserve"> </w:t>
      </w:r>
      <w:r w:rsidRPr="00C739F2">
        <w:rPr>
          <w:sz w:val="22"/>
          <w:szCs w:val="22"/>
        </w:rPr>
        <w:t>approved for marketing or</w:t>
      </w:r>
      <w:r w:rsidR="008E4317">
        <w:rPr>
          <w:sz w:val="22"/>
          <w:szCs w:val="22"/>
        </w:rPr>
        <w:t xml:space="preserve"> </w:t>
      </w:r>
      <w:r w:rsidRPr="00C739F2">
        <w:rPr>
          <w:sz w:val="22"/>
          <w:szCs w:val="22"/>
        </w:rPr>
        <w:t>clinical</w:t>
      </w:r>
      <w:r w:rsidR="008E4317">
        <w:rPr>
          <w:sz w:val="22"/>
          <w:szCs w:val="22"/>
        </w:rPr>
        <w:t xml:space="preserve"> </w:t>
      </w:r>
      <w:r w:rsidRPr="00C739F2">
        <w:rPr>
          <w:sz w:val="22"/>
          <w:szCs w:val="22"/>
        </w:rPr>
        <w:t xml:space="preserve">use in the U.S.) must be done under a valid IND.  </w:t>
      </w:r>
      <w:r w:rsidR="00301D19" w:rsidRPr="00301D19">
        <w:rPr>
          <w:sz w:val="22"/>
          <w:szCs w:val="22"/>
        </w:rPr>
        <w:t>Either documentation of the IND number and effective date, or FDA correspondence confirming the IND is in effect</w:t>
      </w:r>
      <w:r w:rsidR="00107858">
        <w:rPr>
          <w:sz w:val="22"/>
          <w:szCs w:val="22"/>
        </w:rPr>
        <w:t xml:space="preserve"> must be submitted with the IRB application.</w:t>
      </w:r>
    </w:p>
    <w:p w14:paraId="0B2C8BB8" w14:textId="4974538B" w:rsidR="00E742D1" w:rsidRPr="00C739F2" w:rsidRDefault="00E742D1" w:rsidP="00C739F2">
      <w:pPr>
        <w:pStyle w:val="SOPLevel3"/>
        <w:ind w:left="1620" w:hanging="684"/>
        <w:rPr>
          <w:sz w:val="22"/>
          <w:szCs w:val="22"/>
        </w:rPr>
      </w:pPr>
      <w:r w:rsidRPr="00C739F2">
        <w:rPr>
          <w:sz w:val="22"/>
          <w:szCs w:val="22"/>
        </w:rPr>
        <w:t xml:space="preserve">For </w:t>
      </w:r>
      <w:r w:rsidR="008E4317" w:rsidRPr="008E4317">
        <w:rPr>
          <w:sz w:val="22"/>
          <w:szCs w:val="22"/>
        </w:rPr>
        <w:t>studies involving</w:t>
      </w:r>
      <w:r w:rsidRPr="00C739F2">
        <w:rPr>
          <w:sz w:val="22"/>
          <w:szCs w:val="22"/>
        </w:rPr>
        <w:t xml:space="preserve"> only approved drugs,</w:t>
      </w:r>
      <w:r w:rsidR="008E4317">
        <w:rPr>
          <w:sz w:val="22"/>
          <w:szCs w:val="22"/>
        </w:rPr>
        <w:t xml:space="preserve"> </w:t>
      </w:r>
      <w:r w:rsidR="008E4317" w:rsidRPr="008E4317">
        <w:rPr>
          <w:sz w:val="22"/>
          <w:szCs w:val="22"/>
        </w:rPr>
        <w:t>an IND</w:t>
      </w:r>
      <w:r w:rsidR="008E4317">
        <w:rPr>
          <w:sz w:val="22"/>
          <w:szCs w:val="22"/>
        </w:rPr>
        <w:t xml:space="preserve"> </w:t>
      </w:r>
      <w:r w:rsidRPr="00C739F2">
        <w:rPr>
          <w:sz w:val="22"/>
          <w:szCs w:val="22"/>
        </w:rPr>
        <w:t>i</w:t>
      </w:r>
      <w:r w:rsidR="008E4317">
        <w:rPr>
          <w:sz w:val="22"/>
          <w:szCs w:val="22"/>
        </w:rPr>
        <w:t xml:space="preserve">s </w:t>
      </w:r>
      <w:r w:rsidRPr="00C739F2">
        <w:rPr>
          <w:sz w:val="22"/>
          <w:szCs w:val="22"/>
        </w:rPr>
        <w:t>not</w:t>
      </w:r>
      <w:r w:rsidR="008E4317">
        <w:rPr>
          <w:sz w:val="22"/>
          <w:szCs w:val="22"/>
        </w:rPr>
        <w:t xml:space="preserve"> </w:t>
      </w:r>
      <w:r w:rsidRPr="00C739F2">
        <w:rPr>
          <w:sz w:val="22"/>
          <w:szCs w:val="22"/>
        </w:rPr>
        <w:t>needed</w:t>
      </w:r>
      <w:r w:rsidR="008E4317">
        <w:rPr>
          <w:sz w:val="22"/>
          <w:szCs w:val="22"/>
        </w:rPr>
        <w:t xml:space="preserve"> </w:t>
      </w:r>
      <w:r w:rsidRPr="00C739F2">
        <w:rPr>
          <w:sz w:val="22"/>
          <w:szCs w:val="22"/>
        </w:rPr>
        <w:t>if all</w:t>
      </w:r>
      <w:r w:rsidR="008E4317">
        <w:rPr>
          <w:sz w:val="22"/>
          <w:szCs w:val="22"/>
        </w:rPr>
        <w:t xml:space="preserve"> </w:t>
      </w:r>
      <w:r w:rsidR="00E622C1" w:rsidRPr="00C739F2">
        <w:rPr>
          <w:sz w:val="22"/>
          <w:szCs w:val="22"/>
        </w:rPr>
        <w:t>six of</w:t>
      </w:r>
      <w:r w:rsidRPr="00C739F2">
        <w:rPr>
          <w:sz w:val="22"/>
          <w:szCs w:val="22"/>
        </w:rPr>
        <w:t xml:space="preserve"> the following criteria are met:</w:t>
      </w:r>
    </w:p>
    <w:p w14:paraId="46F8B702" w14:textId="77687E4C" w:rsidR="00E742D1" w:rsidRPr="00C739F2" w:rsidRDefault="00E742D1" w:rsidP="00C739F2">
      <w:pPr>
        <w:pStyle w:val="SOPLevel4"/>
        <w:ind w:left="2700" w:hanging="810"/>
        <w:rPr>
          <w:sz w:val="22"/>
          <w:szCs w:val="22"/>
        </w:rPr>
      </w:pPr>
      <w:r w:rsidRPr="00C739F2">
        <w:rPr>
          <w:sz w:val="22"/>
          <w:szCs w:val="22"/>
        </w:rPr>
        <w:t>The drug product(s) is/are marketed in the United States.</w:t>
      </w:r>
    </w:p>
    <w:p w14:paraId="4E91A529" w14:textId="204C4642" w:rsidR="00E742D1" w:rsidRPr="00C739F2" w:rsidRDefault="008E4317" w:rsidP="00C739F2">
      <w:pPr>
        <w:pStyle w:val="SOPLevel4"/>
        <w:ind w:left="2700" w:hanging="810"/>
        <w:rPr>
          <w:sz w:val="22"/>
          <w:szCs w:val="22"/>
        </w:rPr>
      </w:pPr>
      <w:r w:rsidRPr="008E4317">
        <w:rPr>
          <w:sz w:val="22"/>
          <w:szCs w:val="22"/>
        </w:rPr>
        <w:t>There is</w:t>
      </w:r>
      <w:r w:rsidR="00E742D1" w:rsidRPr="00C739F2">
        <w:rPr>
          <w:sz w:val="22"/>
          <w:szCs w:val="22"/>
        </w:rPr>
        <w:t xml:space="preserve"> no</w:t>
      </w:r>
      <w:r w:rsidR="0013527C">
        <w:rPr>
          <w:sz w:val="22"/>
          <w:szCs w:val="22"/>
        </w:rPr>
        <w:t xml:space="preserve"> </w:t>
      </w:r>
      <w:r w:rsidR="00E742D1" w:rsidRPr="00C739F2">
        <w:rPr>
          <w:sz w:val="22"/>
          <w:szCs w:val="22"/>
        </w:rPr>
        <w:t>intention to</w:t>
      </w:r>
      <w:r w:rsidR="0013527C">
        <w:rPr>
          <w:sz w:val="22"/>
          <w:szCs w:val="22"/>
        </w:rPr>
        <w:t xml:space="preserve"> </w:t>
      </w:r>
      <w:r w:rsidR="00E742D1" w:rsidRPr="00C739F2">
        <w:rPr>
          <w:sz w:val="22"/>
          <w:szCs w:val="22"/>
        </w:rPr>
        <w:t>report the</w:t>
      </w:r>
      <w:r w:rsidR="0013527C">
        <w:rPr>
          <w:sz w:val="22"/>
          <w:szCs w:val="22"/>
        </w:rPr>
        <w:t xml:space="preserve"> </w:t>
      </w:r>
      <w:r w:rsidR="00E742D1" w:rsidRPr="00C739F2">
        <w:rPr>
          <w:sz w:val="22"/>
          <w:szCs w:val="22"/>
        </w:rPr>
        <w:t>investigation to FDA as a well-controlled study in support of a new indication and no intent to use it to support any other significant change in the labeling of the drug(s).</w:t>
      </w:r>
    </w:p>
    <w:p w14:paraId="447A0324" w14:textId="335C38A8" w:rsidR="00E742D1" w:rsidRPr="00C739F2" w:rsidRDefault="00E742D1" w:rsidP="00C739F2">
      <w:pPr>
        <w:pStyle w:val="SOPLevel4"/>
        <w:ind w:left="2700" w:hanging="810"/>
        <w:rPr>
          <w:sz w:val="22"/>
          <w:szCs w:val="22"/>
        </w:rPr>
      </w:pPr>
      <w:r w:rsidRPr="00C739F2">
        <w:rPr>
          <w:sz w:val="22"/>
          <w:szCs w:val="22"/>
        </w:rPr>
        <w:t>In the case of a prescription drug,</w:t>
      </w:r>
      <w:r w:rsidR="0013527C">
        <w:rPr>
          <w:sz w:val="22"/>
          <w:szCs w:val="22"/>
        </w:rPr>
        <w:t xml:space="preserve"> </w:t>
      </w:r>
      <w:r w:rsidRPr="00C739F2">
        <w:rPr>
          <w:sz w:val="22"/>
          <w:szCs w:val="22"/>
        </w:rPr>
        <w:t>the investigation</w:t>
      </w:r>
      <w:r w:rsidR="0013527C">
        <w:rPr>
          <w:sz w:val="22"/>
          <w:szCs w:val="22"/>
        </w:rPr>
        <w:t xml:space="preserve"> </w:t>
      </w:r>
      <w:r w:rsidRPr="00C739F2">
        <w:rPr>
          <w:sz w:val="22"/>
          <w:szCs w:val="22"/>
        </w:rPr>
        <w:t>is not intended to support a significant change in the advertising for the drug.</w:t>
      </w:r>
    </w:p>
    <w:p w14:paraId="17D74F7A" w14:textId="0EB5E6B9" w:rsidR="00E742D1" w:rsidRPr="00C739F2" w:rsidRDefault="00E742D1" w:rsidP="00C739F2">
      <w:pPr>
        <w:pStyle w:val="SOPLevel4"/>
        <w:ind w:left="2700" w:hanging="810"/>
        <w:rPr>
          <w:sz w:val="22"/>
          <w:szCs w:val="22"/>
        </w:rPr>
      </w:pPr>
      <w:r w:rsidRPr="00C739F2">
        <w:rPr>
          <w:sz w:val="22"/>
          <w:szCs w:val="22"/>
        </w:rPr>
        <w:lastRenderedPageBreak/>
        <w:t xml:space="preserve">The investigation does not involve </w:t>
      </w:r>
      <w:r w:rsidR="00E622C1" w:rsidRPr="00C739F2">
        <w:rPr>
          <w:sz w:val="22"/>
          <w:szCs w:val="22"/>
        </w:rPr>
        <w:t>a route</w:t>
      </w:r>
      <w:r w:rsidR="0013527C">
        <w:rPr>
          <w:sz w:val="22"/>
          <w:szCs w:val="22"/>
        </w:rPr>
        <w:t xml:space="preserve"> </w:t>
      </w:r>
      <w:r w:rsidRPr="00C739F2">
        <w:rPr>
          <w:sz w:val="22"/>
          <w:szCs w:val="22"/>
        </w:rPr>
        <w:t>of administration, dose,</w:t>
      </w:r>
      <w:r w:rsidR="0013527C">
        <w:rPr>
          <w:sz w:val="22"/>
          <w:szCs w:val="22"/>
        </w:rPr>
        <w:t xml:space="preserve"> </w:t>
      </w:r>
      <w:r w:rsidRPr="00C739F2">
        <w:rPr>
          <w:sz w:val="22"/>
          <w:szCs w:val="22"/>
        </w:rPr>
        <w:t xml:space="preserve">patient population, or other factor that </w:t>
      </w:r>
      <w:r w:rsidR="0013527C" w:rsidRPr="0013527C">
        <w:rPr>
          <w:sz w:val="22"/>
          <w:szCs w:val="22"/>
        </w:rPr>
        <w:t>significantly</w:t>
      </w:r>
      <w:r w:rsidR="0013527C">
        <w:rPr>
          <w:sz w:val="22"/>
          <w:szCs w:val="22"/>
        </w:rPr>
        <w:t xml:space="preserve"> </w:t>
      </w:r>
      <w:r w:rsidRPr="00C739F2">
        <w:rPr>
          <w:sz w:val="22"/>
          <w:szCs w:val="22"/>
        </w:rPr>
        <w:t>changes the risk profile associated with the use of the drug product.</w:t>
      </w:r>
    </w:p>
    <w:p w14:paraId="3A10B52A" w14:textId="6A138207" w:rsidR="00E742D1" w:rsidRPr="00C739F2" w:rsidRDefault="00E742D1" w:rsidP="00C739F2">
      <w:pPr>
        <w:pStyle w:val="SOPLevel4"/>
        <w:ind w:left="2700" w:hanging="810"/>
        <w:rPr>
          <w:sz w:val="22"/>
          <w:szCs w:val="22"/>
        </w:rPr>
      </w:pPr>
      <w:r w:rsidRPr="00C739F2">
        <w:rPr>
          <w:sz w:val="22"/>
          <w:szCs w:val="22"/>
        </w:rPr>
        <w:t xml:space="preserve">The investigation will be </w:t>
      </w:r>
      <w:r w:rsidR="00E622C1" w:rsidRPr="00C739F2">
        <w:rPr>
          <w:sz w:val="22"/>
          <w:szCs w:val="22"/>
        </w:rPr>
        <w:t>reviewed by IRB</w:t>
      </w:r>
      <w:r w:rsidRPr="00C739F2">
        <w:rPr>
          <w:sz w:val="22"/>
          <w:szCs w:val="22"/>
        </w:rPr>
        <w:t xml:space="preserve"> and approved</w:t>
      </w:r>
      <w:r w:rsidR="0013527C">
        <w:rPr>
          <w:sz w:val="22"/>
          <w:szCs w:val="22"/>
        </w:rPr>
        <w:t xml:space="preserve"> </w:t>
      </w:r>
      <w:r w:rsidR="00E622C1" w:rsidRPr="00C739F2">
        <w:rPr>
          <w:sz w:val="22"/>
          <w:szCs w:val="22"/>
        </w:rPr>
        <w:t>and informed</w:t>
      </w:r>
      <w:r w:rsidRPr="00C739F2">
        <w:rPr>
          <w:sz w:val="22"/>
          <w:szCs w:val="22"/>
        </w:rPr>
        <w:t xml:space="preserve"> consent requirements will be met.</w:t>
      </w:r>
    </w:p>
    <w:p w14:paraId="2E02EECA" w14:textId="2F323942" w:rsidR="00E742D1" w:rsidRPr="00C739F2" w:rsidRDefault="00E742D1" w:rsidP="00C739F2">
      <w:pPr>
        <w:pStyle w:val="SOPLevel4"/>
        <w:ind w:left="2700" w:hanging="810"/>
        <w:rPr>
          <w:sz w:val="22"/>
          <w:szCs w:val="22"/>
        </w:rPr>
      </w:pPr>
      <w:r w:rsidRPr="00C739F2">
        <w:rPr>
          <w:sz w:val="22"/>
          <w:szCs w:val="22"/>
        </w:rPr>
        <w:t>The investigation is not intended to promote or commercialize</w:t>
      </w:r>
      <w:r w:rsidR="0013527C">
        <w:rPr>
          <w:sz w:val="22"/>
          <w:szCs w:val="22"/>
        </w:rPr>
        <w:t xml:space="preserve"> </w:t>
      </w:r>
      <w:r w:rsidRPr="00C739F2">
        <w:rPr>
          <w:sz w:val="22"/>
          <w:szCs w:val="22"/>
        </w:rPr>
        <w:t>the drug product.</w:t>
      </w:r>
    </w:p>
    <w:p w14:paraId="17220D38" w14:textId="6ECA5054" w:rsidR="00E742D1" w:rsidRPr="00C739F2" w:rsidRDefault="00E742D1" w:rsidP="00E57C91">
      <w:pPr>
        <w:pStyle w:val="SOPLevel3"/>
        <w:rPr>
          <w:sz w:val="22"/>
          <w:szCs w:val="22"/>
        </w:rPr>
      </w:pPr>
      <w:r w:rsidRPr="00C739F2">
        <w:rPr>
          <w:sz w:val="22"/>
          <w:szCs w:val="22"/>
        </w:rPr>
        <w:t>If applicable, the IRB will not approve a study until the IND clearance is obtained.</w:t>
      </w:r>
    </w:p>
    <w:p w14:paraId="627895A2" w14:textId="35ADA950" w:rsidR="00E742D1" w:rsidRPr="00C739F2" w:rsidRDefault="00E742D1" w:rsidP="0013527C">
      <w:pPr>
        <w:pStyle w:val="SOPLevel2"/>
        <w:rPr>
          <w:sz w:val="22"/>
          <w:szCs w:val="22"/>
        </w:rPr>
      </w:pPr>
      <w:r w:rsidRPr="00C739F2">
        <w:rPr>
          <w:sz w:val="22"/>
          <w:szCs w:val="22"/>
        </w:rPr>
        <w:t>IDE (Investigational Device Exemption)</w:t>
      </w:r>
    </w:p>
    <w:p w14:paraId="637EB3F9" w14:textId="7560C374" w:rsidR="00591563" w:rsidRPr="00C739F2" w:rsidRDefault="00591563" w:rsidP="00C739F2">
      <w:pPr>
        <w:pStyle w:val="SOPLevel3"/>
        <w:tabs>
          <w:tab w:val="num" w:pos="1620"/>
        </w:tabs>
        <w:ind w:left="1620" w:hanging="630"/>
        <w:rPr>
          <w:sz w:val="22"/>
          <w:szCs w:val="22"/>
        </w:rPr>
      </w:pPr>
      <w:r w:rsidRPr="00591563">
        <w:rPr>
          <w:sz w:val="22"/>
          <w:szCs w:val="22"/>
        </w:rPr>
        <w:t>Generally, studies involving legally marketed devices used in accordance with their cleared or approved labeling do not require an IDE.</w:t>
      </w:r>
    </w:p>
    <w:p w14:paraId="15506B55" w14:textId="593ABCCA" w:rsidR="00E742D1" w:rsidRPr="00C739F2" w:rsidRDefault="00E742D1" w:rsidP="00C739F2">
      <w:pPr>
        <w:pStyle w:val="SOPLevel3"/>
        <w:tabs>
          <w:tab w:val="num" w:pos="1620"/>
        </w:tabs>
        <w:ind w:left="1620" w:hanging="630"/>
        <w:rPr>
          <w:sz w:val="22"/>
          <w:szCs w:val="22"/>
        </w:rPr>
      </w:pPr>
      <w:r w:rsidRPr="00C739F2">
        <w:rPr>
          <w:sz w:val="22"/>
          <w:szCs w:val="22"/>
        </w:rPr>
        <w:t>Studies involving an approved device being used in an unapproved manner OR involving an investigational device MAY require an IDE, unless matching one of two exemption categories listed below.</w:t>
      </w:r>
    </w:p>
    <w:p w14:paraId="493250C7" w14:textId="1C374230" w:rsidR="00E742D1" w:rsidRPr="00C739F2" w:rsidRDefault="00E742D1" w:rsidP="00C739F2">
      <w:pPr>
        <w:pStyle w:val="SOPLevel3"/>
        <w:tabs>
          <w:tab w:val="num" w:pos="1620"/>
        </w:tabs>
        <w:ind w:left="1800" w:hanging="810"/>
        <w:rPr>
          <w:sz w:val="22"/>
          <w:szCs w:val="22"/>
        </w:rPr>
      </w:pPr>
      <w:r w:rsidRPr="00C739F2">
        <w:rPr>
          <w:sz w:val="22"/>
          <w:szCs w:val="22"/>
        </w:rPr>
        <w:t>One of the major issues discussed in the exemption</w:t>
      </w:r>
      <w:r w:rsidR="0013527C">
        <w:rPr>
          <w:sz w:val="22"/>
          <w:szCs w:val="22"/>
        </w:rPr>
        <w:t xml:space="preserve"> ca</w:t>
      </w:r>
      <w:r w:rsidRPr="00C739F2">
        <w:rPr>
          <w:sz w:val="22"/>
          <w:szCs w:val="22"/>
        </w:rPr>
        <w:t xml:space="preserve">tegories is </w:t>
      </w:r>
      <w:r w:rsidR="00E622C1" w:rsidRPr="00C739F2">
        <w:rPr>
          <w:sz w:val="22"/>
          <w:szCs w:val="22"/>
        </w:rPr>
        <w:t>the risk</w:t>
      </w:r>
      <w:r w:rsidRPr="00C739F2">
        <w:rPr>
          <w:sz w:val="22"/>
          <w:szCs w:val="22"/>
        </w:rPr>
        <w:t xml:space="preserve"> of the study.</w:t>
      </w:r>
    </w:p>
    <w:p w14:paraId="2A51C546" w14:textId="2D1BBAA9" w:rsidR="00E742D1" w:rsidRPr="00C739F2" w:rsidRDefault="008E4317" w:rsidP="00C739F2">
      <w:pPr>
        <w:pStyle w:val="SOPLevel3"/>
        <w:tabs>
          <w:tab w:val="left" w:pos="1620"/>
        </w:tabs>
        <w:ind w:left="1620" w:hanging="630"/>
        <w:rPr>
          <w:sz w:val="22"/>
          <w:szCs w:val="22"/>
        </w:rPr>
      </w:pPr>
      <w:r w:rsidRPr="008E4317">
        <w:rPr>
          <w:sz w:val="22"/>
          <w:szCs w:val="22"/>
        </w:rPr>
        <w:t>Studies involving</w:t>
      </w:r>
      <w:r w:rsidR="00E742D1" w:rsidRPr="00C739F2">
        <w:rPr>
          <w:sz w:val="22"/>
          <w:szCs w:val="22"/>
        </w:rPr>
        <w:t xml:space="preserve"> </w:t>
      </w:r>
      <w:r w:rsidRPr="008E4317">
        <w:rPr>
          <w:sz w:val="22"/>
          <w:szCs w:val="22"/>
        </w:rPr>
        <w:t>a significant</w:t>
      </w:r>
      <w:r w:rsidR="0013527C">
        <w:rPr>
          <w:sz w:val="22"/>
          <w:szCs w:val="22"/>
        </w:rPr>
        <w:t xml:space="preserve"> </w:t>
      </w:r>
      <w:r w:rsidRPr="008E4317">
        <w:rPr>
          <w:sz w:val="22"/>
          <w:szCs w:val="22"/>
        </w:rPr>
        <w:t>risk device</w:t>
      </w:r>
      <w:r>
        <w:rPr>
          <w:sz w:val="22"/>
          <w:szCs w:val="22"/>
        </w:rPr>
        <w:t xml:space="preserve"> </w:t>
      </w:r>
      <w:r w:rsidR="00E742D1" w:rsidRPr="00C739F2">
        <w:rPr>
          <w:sz w:val="22"/>
          <w:szCs w:val="22"/>
        </w:rPr>
        <w:t>will</w:t>
      </w:r>
      <w:r>
        <w:rPr>
          <w:sz w:val="22"/>
          <w:szCs w:val="22"/>
        </w:rPr>
        <w:t xml:space="preserve"> </w:t>
      </w:r>
      <w:r w:rsidR="00E742D1" w:rsidRPr="00C739F2">
        <w:rPr>
          <w:sz w:val="22"/>
          <w:szCs w:val="22"/>
        </w:rPr>
        <w:t>nearly</w:t>
      </w:r>
      <w:r w:rsidR="0013527C">
        <w:rPr>
          <w:sz w:val="22"/>
          <w:szCs w:val="22"/>
        </w:rPr>
        <w:t xml:space="preserve"> </w:t>
      </w:r>
      <w:r w:rsidR="00E742D1" w:rsidRPr="00C739F2">
        <w:rPr>
          <w:sz w:val="22"/>
          <w:szCs w:val="22"/>
        </w:rPr>
        <w:t>always</w:t>
      </w:r>
      <w:r w:rsidR="0013527C">
        <w:rPr>
          <w:sz w:val="22"/>
          <w:szCs w:val="22"/>
        </w:rPr>
        <w:t xml:space="preserve"> </w:t>
      </w:r>
      <w:r w:rsidR="00E742D1" w:rsidRPr="00C739F2">
        <w:rPr>
          <w:sz w:val="22"/>
          <w:szCs w:val="22"/>
        </w:rPr>
        <w:t>need</w:t>
      </w:r>
      <w:r w:rsidR="0013527C">
        <w:rPr>
          <w:sz w:val="22"/>
          <w:szCs w:val="22"/>
        </w:rPr>
        <w:t xml:space="preserve"> </w:t>
      </w:r>
      <w:r w:rsidR="00E742D1" w:rsidRPr="00C739F2">
        <w:rPr>
          <w:sz w:val="22"/>
          <w:szCs w:val="22"/>
        </w:rPr>
        <w:t>an</w:t>
      </w:r>
      <w:r w:rsidR="0013527C">
        <w:rPr>
          <w:sz w:val="22"/>
          <w:szCs w:val="22"/>
        </w:rPr>
        <w:t xml:space="preserve"> </w:t>
      </w:r>
      <w:r w:rsidR="00E742D1" w:rsidRPr="00C739F2">
        <w:rPr>
          <w:sz w:val="22"/>
          <w:szCs w:val="22"/>
        </w:rPr>
        <w:t>IDE.</w:t>
      </w:r>
      <w:r w:rsidR="0013527C">
        <w:rPr>
          <w:sz w:val="22"/>
          <w:szCs w:val="22"/>
        </w:rPr>
        <w:t xml:space="preserve"> </w:t>
      </w:r>
      <w:r w:rsidR="00E742D1" w:rsidRPr="00C739F2">
        <w:rPr>
          <w:sz w:val="22"/>
          <w:szCs w:val="22"/>
        </w:rPr>
        <w:t>The investigator is strongly urged to read the FDA guidance referenced above before moving forward to the exemption categories.</w:t>
      </w:r>
    </w:p>
    <w:p w14:paraId="1E09E63F" w14:textId="0D787EB5" w:rsidR="00E742D1" w:rsidRPr="00C739F2" w:rsidRDefault="00F742D3" w:rsidP="00C739F2">
      <w:pPr>
        <w:pStyle w:val="SOPLevel3"/>
        <w:tabs>
          <w:tab w:val="num" w:pos="1620"/>
        </w:tabs>
        <w:ind w:left="1620" w:hanging="630"/>
        <w:rPr>
          <w:sz w:val="22"/>
          <w:szCs w:val="22"/>
        </w:rPr>
      </w:pPr>
      <w:r w:rsidRPr="00F742D3">
        <w:rPr>
          <w:sz w:val="22"/>
          <w:szCs w:val="22"/>
        </w:rPr>
        <w:t>Studies Subject to Abbreviated IDE Requirements (21 CFR 812.2(b))</w:t>
      </w:r>
      <w:r w:rsidR="00E742D1" w:rsidRPr="00C739F2">
        <w:rPr>
          <w:sz w:val="22"/>
          <w:szCs w:val="22"/>
        </w:rPr>
        <w:t>. A study will not need an IDE if all of the following apply:</w:t>
      </w:r>
    </w:p>
    <w:p w14:paraId="7CD2D43A" w14:textId="7251AAC5" w:rsidR="00E742D1" w:rsidRPr="00C739F2" w:rsidRDefault="00E742D1" w:rsidP="00C739F2">
      <w:pPr>
        <w:pStyle w:val="SOPLevel4"/>
        <w:ind w:left="2700" w:hanging="810"/>
        <w:rPr>
          <w:sz w:val="22"/>
          <w:szCs w:val="22"/>
        </w:rPr>
      </w:pPr>
      <w:r w:rsidRPr="00C739F2">
        <w:rPr>
          <w:sz w:val="22"/>
          <w:szCs w:val="22"/>
        </w:rPr>
        <w:t>The investigation does not involve a significant risk device.</w:t>
      </w:r>
    </w:p>
    <w:p w14:paraId="3F24B101" w14:textId="563D363F" w:rsidR="00E742D1" w:rsidRPr="00C739F2" w:rsidRDefault="00E742D1" w:rsidP="00C739F2">
      <w:pPr>
        <w:pStyle w:val="SOPLevel4"/>
        <w:ind w:left="2700" w:hanging="810"/>
        <w:rPr>
          <w:sz w:val="22"/>
          <w:szCs w:val="22"/>
        </w:rPr>
      </w:pPr>
      <w:r w:rsidRPr="00C739F2">
        <w:rPr>
          <w:sz w:val="22"/>
          <w:szCs w:val="22"/>
        </w:rPr>
        <w:t>The device being studied is labeled accordingly (i.e., clearly states that this is an investigational device or use of the device).</w:t>
      </w:r>
    </w:p>
    <w:p w14:paraId="7DA7379F" w14:textId="7D44292A" w:rsidR="00E742D1" w:rsidRPr="00C739F2" w:rsidRDefault="00E742D1" w:rsidP="00C739F2">
      <w:pPr>
        <w:pStyle w:val="SOPLevel4"/>
        <w:ind w:left="2700" w:hanging="810"/>
        <w:rPr>
          <w:sz w:val="22"/>
          <w:szCs w:val="22"/>
        </w:rPr>
      </w:pPr>
      <w:r w:rsidRPr="00C739F2">
        <w:rPr>
          <w:sz w:val="22"/>
          <w:szCs w:val="22"/>
        </w:rPr>
        <w:t>The investigator will obtain IRB approval, which will include</w:t>
      </w:r>
      <w:r w:rsidR="0013527C">
        <w:rPr>
          <w:sz w:val="22"/>
          <w:szCs w:val="22"/>
        </w:rPr>
        <w:t xml:space="preserve"> </w:t>
      </w:r>
      <w:r w:rsidRPr="00C739F2">
        <w:rPr>
          <w:sz w:val="22"/>
          <w:szCs w:val="22"/>
        </w:rPr>
        <w:t>an explanation why they deem that the device is a Non-significant risk (NSR) product.</w:t>
      </w:r>
    </w:p>
    <w:p w14:paraId="130DBAD0" w14:textId="3AEC3482" w:rsidR="00E742D1" w:rsidRPr="00C739F2" w:rsidRDefault="00E742D1" w:rsidP="00C739F2">
      <w:pPr>
        <w:pStyle w:val="SOPLevel4"/>
        <w:ind w:left="2700" w:hanging="810"/>
        <w:rPr>
          <w:sz w:val="22"/>
          <w:szCs w:val="22"/>
        </w:rPr>
      </w:pPr>
      <w:r w:rsidRPr="00C739F2">
        <w:rPr>
          <w:sz w:val="22"/>
          <w:szCs w:val="22"/>
        </w:rPr>
        <w:t>Appropriate</w:t>
      </w:r>
      <w:r w:rsidR="0013527C">
        <w:rPr>
          <w:sz w:val="22"/>
          <w:szCs w:val="22"/>
        </w:rPr>
        <w:t xml:space="preserve"> </w:t>
      </w:r>
      <w:r w:rsidRPr="00C739F2">
        <w:rPr>
          <w:sz w:val="22"/>
          <w:szCs w:val="22"/>
        </w:rPr>
        <w:t>consent will be obtained from all participants.</w:t>
      </w:r>
    </w:p>
    <w:p w14:paraId="10C46E58" w14:textId="390020B0" w:rsidR="00E742D1" w:rsidRPr="00C739F2" w:rsidRDefault="00E742D1" w:rsidP="00C739F2">
      <w:pPr>
        <w:pStyle w:val="SOPLevel4"/>
        <w:ind w:left="2700" w:hanging="810"/>
        <w:rPr>
          <w:sz w:val="22"/>
          <w:szCs w:val="22"/>
        </w:rPr>
      </w:pPr>
      <w:r w:rsidRPr="00C739F2">
        <w:rPr>
          <w:sz w:val="22"/>
          <w:szCs w:val="22"/>
        </w:rPr>
        <w:t>The study will be monitored appropriately (as listed in the regulation).</w:t>
      </w:r>
    </w:p>
    <w:p w14:paraId="5C5ABBF3" w14:textId="77777777" w:rsidR="00E742D1" w:rsidRPr="00C739F2" w:rsidRDefault="00E742D1" w:rsidP="00C739F2">
      <w:pPr>
        <w:pStyle w:val="SOPLevel4"/>
        <w:ind w:left="2700" w:hanging="810"/>
        <w:rPr>
          <w:sz w:val="22"/>
          <w:szCs w:val="22"/>
        </w:rPr>
      </w:pPr>
      <w:r w:rsidRPr="00C739F2">
        <w:rPr>
          <w:sz w:val="22"/>
          <w:szCs w:val="22"/>
        </w:rPr>
        <w:t xml:space="preserve">All study records will be maintained appropriately (as listed in the regulation). </w:t>
      </w:r>
    </w:p>
    <w:p w14:paraId="6245420B" w14:textId="131E0386" w:rsidR="00E742D1" w:rsidRPr="00C739F2" w:rsidRDefault="00E742D1" w:rsidP="00C739F2">
      <w:pPr>
        <w:pStyle w:val="SOPLevel4"/>
        <w:ind w:left="2700" w:hanging="810"/>
        <w:rPr>
          <w:sz w:val="22"/>
          <w:szCs w:val="22"/>
        </w:rPr>
      </w:pPr>
      <w:r w:rsidRPr="00C739F2">
        <w:rPr>
          <w:sz w:val="22"/>
          <w:szCs w:val="22"/>
        </w:rPr>
        <w:t>The investigator will not promote the studied use until formal FDA clearance is obtained.</w:t>
      </w:r>
    </w:p>
    <w:p w14:paraId="0DAF9CCA" w14:textId="77148D9D" w:rsidR="00E742D1" w:rsidRPr="00C739F2" w:rsidRDefault="00E742D1" w:rsidP="00C739F2">
      <w:pPr>
        <w:pStyle w:val="SOPLevel3"/>
        <w:ind w:left="1620" w:hanging="630"/>
        <w:rPr>
          <w:sz w:val="22"/>
          <w:szCs w:val="22"/>
        </w:rPr>
      </w:pPr>
      <w:r w:rsidRPr="00C739F2">
        <w:rPr>
          <w:sz w:val="22"/>
          <w:szCs w:val="22"/>
        </w:rPr>
        <w:t>Exemption from IDE Category #2 ("Exempted Investigations").  A study will not need an IDE if the device falls under any of the following categories:</w:t>
      </w:r>
    </w:p>
    <w:p w14:paraId="22F245BE" w14:textId="5726F4A4" w:rsidR="00E742D1" w:rsidRPr="00C739F2" w:rsidRDefault="00E742D1" w:rsidP="00C739F2">
      <w:pPr>
        <w:pStyle w:val="SOPLevel4"/>
        <w:ind w:left="2700" w:hanging="810"/>
        <w:rPr>
          <w:sz w:val="22"/>
          <w:szCs w:val="22"/>
        </w:rPr>
      </w:pPr>
      <w:r w:rsidRPr="00C739F2">
        <w:rPr>
          <w:sz w:val="22"/>
          <w:szCs w:val="22"/>
        </w:rPr>
        <w:t>The device is</w:t>
      </w:r>
      <w:r w:rsidR="0091183C">
        <w:rPr>
          <w:sz w:val="22"/>
          <w:szCs w:val="22"/>
        </w:rPr>
        <w:t xml:space="preserve"> </w:t>
      </w:r>
      <w:r w:rsidRPr="00C739F2">
        <w:rPr>
          <w:sz w:val="22"/>
          <w:szCs w:val="22"/>
        </w:rPr>
        <w:t>approved and being</w:t>
      </w:r>
      <w:r w:rsidR="0091183C">
        <w:rPr>
          <w:sz w:val="22"/>
          <w:szCs w:val="22"/>
        </w:rPr>
        <w:t xml:space="preserve"> </w:t>
      </w:r>
      <w:r w:rsidRPr="00C739F2">
        <w:rPr>
          <w:sz w:val="22"/>
          <w:szCs w:val="22"/>
        </w:rPr>
        <w:t>investigated/used</w:t>
      </w:r>
      <w:r w:rsidR="0091183C">
        <w:rPr>
          <w:sz w:val="22"/>
          <w:szCs w:val="22"/>
        </w:rPr>
        <w:t xml:space="preserve"> </w:t>
      </w:r>
      <w:r w:rsidRPr="00C739F2">
        <w:rPr>
          <w:sz w:val="22"/>
          <w:szCs w:val="22"/>
        </w:rPr>
        <w:t>in accordance</w:t>
      </w:r>
      <w:r w:rsidR="0091183C">
        <w:rPr>
          <w:sz w:val="22"/>
          <w:szCs w:val="22"/>
        </w:rPr>
        <w:t xml:space="preserve"> </w:t>
      </w:r>
      <w:r w:rsidRPr="00C739F2">
        <w:rPr>
          <w:sz w:val="22"/>
          <w:szCs w:val="22"/>
        </w:rPr>
        <w:t>with the indications in the label.</w:t>
      </w:r>
    </w:p>
    <w:p w14:paraId="621E971F" w14:textId="08CF094A" w:rsidR="00E742D1" w:rsidRPr="00C739F2" w:rsidRDefault="00E742D1" w:rsidP="00C739F2">
      <w:pPr>
        <w:pStyle w:val="SOPLevel4"/>
        <w:ind w:left="2700" w:hanging="810"/>
        <w:rPr>
          <w:sz w:val="22"/>
          <w:szCs w:val="22"/>
        </w:rPr>
      </w:pPr>
      <w:r w:rsidRPr="00C739F2">
        <w:rPr>
          <w:sz w:val="22"/>
          <w:szCs w:val="22"/>
        </w:rPr>
        <w:t>The device has been allowed onto the market by the FDA under the Premarket Notification Procedure.</w:t>
      </w:r>
    </w:p>
    <w:p w14:paraId="5429AD92" w14:textId="6F96BA8A" w:rsidR="00E742D1" w:rsidRPr="00C739F2" w:rsidRDefault="00E742D1" w:rsidP="00C739F2">
      <w:pPr>
        <w:pStyle w:val="SOPLevel4"/>
        <w:ind w:left="2700" w:hanging="810"/>
        <w:rPr>
          <w:sz w:val="22"/>
          <w:szCs w:val="22"/>
        </w:rPr>
      </w:pPr>
      <w:r w:rsidRPr="00C739F2">
        <w:rPr>
          <w:sz w:val="22"/>
          <w:szCs w:val="22"/>
        </w:rPr>
        <w:t>This is a diagnostic device and the testing  being done is  (a) non-invasive,  (b) does not require an invasive sampling procedure  that presents  significant risk, (c) does not by design or intention introduce energy into a subject, and (d) is not used as a diagnostic procedure without confirmation of the diagnosis by another, medically established diagnostic product or procedure.</w:t>
      </w:r>
    </w:p>
    <w:p w14:paraId="5DF497FF" w14:textId="407203E6" w:rsidR="00E742D1" w:rsidRPr="00C739F2" w:rsidRDefault="00E742D1" w:rsidP="00C739F2">
      <w:pPr>
        <w:pStyle w:val="SOPLevel4"/>
        <w:ind w:left="2700" w:hanging="810"/>
        <w:rPr>
          <w:sz w:val="22"/>
          <w:szCs w:val="22"/>
        </w:rPr>
      </w:pPr>
      <w:r w:rsidRPr="00C739F2">
        <w:rPr>
          <w:sz w:val="22"/>
          <w:szCs w:val="22"/>
        </w:rPr>
        <w:t xml:space="preserve">The study involves approved or cleared devices and looking strictly at consumer preference testing, or testing of device modifications/use with other approved/cleared devices IF the </w:t>
      </w:r>
      <w:r w:rsidR="00E622C1" w:rsidRPr="00C739F2">
        <w:rPr>
          <w:sz w:val="22"/>
          <w:szCs w:val="22"/>
        </w:rPr>
        <w:t>testing is</w:t>
      </w:r>
      <w:r w:rsidRPr="00C739F2">
        <w:rPr>
          <w:sz w:val="22"/>
          <w:szCs w:val="22"/>
        </w:rPr>
        <w:t xml:space="preserve"> not for the purpose</w:t>
      </w:r>
      <w:r w:rsidR="00045A4E">
        <w:rPr>
          <w:sz w:val="22"/>
          <w:szCs w:val="22"/>
        </w:rPr>
        <w:t xml:space="preserve"> </w:t>
      </w:r>
      <w:r w:rsidRPr="00C739F2">
        <w:rPr>
          <w:sz w:val="22"/>
          <w:szCs w:val="22"/>
        </w:rPr>
        <w:t xml:space="preserve">of determining safety or </w:t>
      </w:r>
      <w:r w:rsidR="00E622C1" w:rsidRPr="00C739F2">
        <w:rPr>
          <w:sz w:val="22"/>
          <w:szCs w:val="22"/>
        </w:rPr>
        <w:t>effectiveness AND</w:t>
      </w:r>
      <w:r w:rsidRPr="00C739F2">
        <w:rPr>
          <w:sz w:val="22"/>
          <w:szCs w:val="22"/>
        </w:rPr>
        <w:t xml:space="preserve"> does not put subjects at risk.</w:t>
      </w:r>
    </w:p>
    <w:p w14:paraId="0B78094D" w14:textId="55D44CFB" w:rsidR="00E742D1" w:rsidRPr="00C739F2" w:rsidRDefault="00E742D1" w:rsidP="00C739F2">
      <w:pPr>
        <w:pStyle w:val="SOPLevel4"/>
        <w:ind w:left="2700" w:hanging="810"/>
        <w:rPr>
          <w:sz w:val="22"/>
          <w:szCs w:val="22"/>
        </w:rPr>
      </w:pPr>
      <w:r w:rsidRPr="00C739F2">
        <w:rPr>
          <w:sz w:val="22"/>
          <w:szCs w:val="22"/>
        </w:rPr>
        <w:t>The device is intended solely for veterinary use or research in animals.</w:t>
      </w:r>
    </w:p>
    <w:p w14:paraId="17098586" w14:textId="06A00008" w:rsidR="00E742D1" w:rsidRPr="00C739F2" w:rsidRDefault="00E742D1" w:rsidP="00C739F2">
      <w:pPr>
        <w:pStyle w:val="SOPLevel4"/>
        <w:ind w:left="2700" w:hanging="810"/>
        <w:rPr>
          <w:sz w:val="22"/>
          <w:szCs w:val="22"/>
        </w:rPr>
      </w:pPr>
      <w:r w:rsidRPr="00C739F2">
        <w:rPr>
          <w:sz w:val="22"/>
          <w:szCs w:val="22"/>
        </w:rPr>
        <w:t>This is a custom device unless the device is being used to determine safety and effectiveness for commercial distribution.</w:t>
      </w:r>
    </w:p>
    <w:p w14:paraId="3CFE4488" w14:textId="4CD30A9F" w:rsidR="00E742D1" w:rsidRDefault="00E742D1" w:rsidP="00E57C91">
      <w:pPr>
        <w:pStyle w:val="SOPLevel3"/>
        <w:rPr>
          <w:sz w:val="22"/>
          <w:szCs w:val="22"/>
        </w:rPr>
      </w:pPr>
      <w:r w:rsidRPr="00C739F2">
        <w:rPr>
          <w:sz w:val="22"/>
          <w:szCs w:val="22"/>
        </w:rPr>
        <w:t>If applicable, the IRB will not approve a study until the IDE clearance is obtained.</w:t>
      </w:r>
    </w:p>
    <w:p w14:paraId="47087CBD" w14:textId="77777777" w:rsidR="00975E93" w:rsidRDefault="00975E93" w:rsidP="00975E93">
      <w:pPr>
        <w:pStyle w:val="SOPLevel1"/>
        <w:numPr>
          <w:ilvl w:val="0"/>
          <w:numId w:val="0"/>
        </w:numPr>
        <w:ind w:left="720" w:hanging="360"/>
      </w:pPr>
    </w:p>
    <w:p w14:paraId="3CEEFF34" w14:textId="77777777" w:rsidR="00975E93" w:rsidRPr="00C739F2" w:rsidRDefault="00975E93" w:rsidP="00975E93">
      <w:pPr>
        <w:pStyle w:val="SOPLevel1"/>
        <w:numPr>
          <w:ilvl w:val="0"/>
          <w:numId w:val="0"/>
        </w:numPr>
        <w:ind w:left="720" w:hanging="360"/>
      </w:pPr>
    </w:p>
    <w:p w14:paraId="53402FB4" w14:textId="77777777" w:rsidR="00042D92" w:rsidRPr="00C739F2" w:rsidRDefault="00042D92" w:rsidP="00E57C91">
      <w:pPr>
        <w:pStyle w:val="SOPLevel1"/>
        <w:spacing w:before="120" w:after="120"/>
        <w:rPr>
          <w:sz w:val="22"/>
          <w:szCs w:val="22"/>
        </w:rPr>
      </w:pPr>
      <w:r w:rsidRPr="00C739F2">
        <w:rPr>
          <w:sz w:val="22"/>
          <w:szCs w:val="22"/>
        </w:rPr>
        <w:lastRenderedPageBreak/>
        <w:t>RESPONSIBILITIES</w:t>
      </w:r>
    </w:p>
    <w:p w14:paraId="53402FB5" w14:textId="77777777" w:rsidR="00042D92" w:rsidRPr="00C739F2" w:rsidRDefault="00042D92" w:rsidP="00E57C91">
      <w:pPr>
        <w:pStyle w:val="SOPLevel2"/>
        <w:rPr>
          <w:sz w:val="22"/>
          <w:szCs w:val="22"/>
        </w:rPr>
      </w:pPr>
      <w:r w:rsidRPr="00C739F2">
        <w:rPr>
          <w:sz w:val="22"/>
          <w:szCs w:val="22"/>
        </w:rPr>
        <w:t>IRB staff members carry out these procedures.</w:t>
      </w:r>
    </w:p>
    <w:p w14:paraId="53402FB6" w14:textId="3B827B2D" w:rsidR="00042D92" w:rsidRPr="00C739F2" w:rsidRDefault="00042D92" w:rsidP="004B0FF8">
      <w:pPr>
        <w:pStyle w:val="SOPLevel1"/>
        <w:spacing w:before="0" w:after="0" w:line="276" w:lineRule="auto"/>
        <w:rPr>
          <w:sz w:val="22"/>
          <w:szCs w:val="22"/>
        </w:rPr>
      </w:pPr>
      <w:r w:rsidRPr="00C739F2">
        <w:rPr>
          <w:sz w:val="22"/>
          <w:szCs w:val="22"/>
        </w:rPr>
        <w:t>PROCEDURE</w:t>
      </w:r>
    </w:p>
    <w:p w14:paraId="709D4F36" w14:textId="77777777" w:rsidR="00E742D1" w:rsidRPr="00C739F2" w:rsidRDefault="00E742D1" w:rsidP="004B0FF8">
      <w:pPr>
        <w:pStyle w:val="SOPLevel2"/>
        <w:spacing w:before="0" w:after="0" w:line="276" w:lineRule="auto"/>
        <w:ind w:left="900" w:hanging="540"/>
        <w:rPr>
          <w:sz w:val="22"/>
          <w:szCs w:val="22"/>
        </w:rPr>
      </w:pPr>
      <w:r w:rsidRPr="00C739F2">
        <w:rPr>
          <w:sz w:val="22"/>
          <w:szCs w:val="22"/>
        </w:rPr>
        <w:t>Any study involving an unapproved drug or device must be submitted to the IRB for review.</w:t>
      </w:r>
    </w:p>
    <w:p w14:paraId="0553E6F1" w14:textId="77777777" w:rsidR="00E742D1" w:rsidRPr="00C739F2" w:rsidRDefault="00E742D1" w:rsidP="004B0FF8">
      <w:pPr>
        <w:pStyle w:val="SOPLevel2"/>
        <w:spacing w:before="0" w:after="0" w:line="276" w:lineRule="auto"/>
        <w:ind w:left="900" w:hanging="540"/>
        <w:rPr>
          <w:sz w:val="22"/>
          <w:szCs w:val="22"/>
        </w:rPr>
      </w:pPr>
      <w:r w:rsidRPr="00C739F2">
        <w:rPr>
          <w:sz w:val="22"/>
          <w:szCs w:val="22"/>
        </w:rPr>
        <w:t>If a study is industry-sponsored, the sponsor must provide the IND or IDE.</w:t>
      </w:r>
    </w:p>
    <w:p w14:paraId="6ADC632A" w14:textId="710C597B" w:rsidR="00E742D1" w:rsidRPr="00C739F2" w:rsidRDefault="00E742D1" w:rsidP="004B0FF8">
      <w:pPr>
        <w:pStyle w:val="SOPLevel2"/>
        <w:spacing w:before="0" w:after="0" w:line="276" w:lineRule="auto"/>
        <w:ind w:left="900" w:hanging="540"/>
        <w:rPr>
          <w:sz w:val="22"/>
          <w:szCs w:val="22"/>
        </w:rPr>
      </w:pPr>
      <w:r w:rsidRPr="00C739F2">
        <w:rPr>
          <w:bCs/>
          <w:sz w:val="22"/>
          <w:szCs w:val="22"/>
        </w:rPr>
        <w:t xml:space="preserve">If a study is investigator-initiated, the PI must work with the Office </w:t>
      </w:r>
      <w:r w:rsidR="002067C3">
        <w:rPr>
          <w:bCs/>
          <w:sz w:val="22"/>
          <w:szCs w:val="22"/>
        </w:rPr>
        <w:t>of Research Regulatory Affairs (ORRA)</w:t>
      </w:r>
      <w:r w:rsidRPr="00C739F2">
        <w:rPr>
          <w:bCs/>
          <w:sz w:val="22"/>
          <w:szCs w:val="22"/>
        </w:rPr>
        <w:t xml:space="preserve"> to obtain an IND or IDE.</w:t>
      </w:r>
    </w:p>
    <w:p w14:paraId="4DEBE7B4" w14:textId="1EFE09B4" w:rsidR="00E742D1" w:rsidRPr="00C739F2" w:rsidRDefault="00E622C1" w:rsidP="004B0FF8">
      <w:pPr>
        <w:pStyle w:val="SOPLevel2"/>
        <w:spacing w:before="0" w:after="0" w:line="276" w:lineRule="auto"/>
        <w:ind w:left="900" w:hanging="540"/>
        <w:rPr>
          <w:bCs/>
          <w:sz w:val="22"/>
          <w:szCs w:val="22"/>
        </w:rPr>
      </w:pPr>
      <w:r w:rsidRPr="00C739F2">
        <w:rPr>
          <w:bCs/>
          <w:sz w:val="22"/>
          <w:szCs w:val="22"/>
        </w:rPr>
        <w:t>It is</w:t>
      </w:r>
      <w:r w:rsidR="00E742D1" w:rsidRPr="00C739F2">
        <w:rPr>
          <w:bCs/>
          <w:sz w:val="22"/>
          <w:szCs w:val="22"/>
        </w:rPr>
        <w:t xml:space="preserve">  the  </w:t>
      </w:r>
      <w:r w:rsidRPr="00C739F2">
        <w:rPr>
          <w:bCs/>
          <w:sz w:val="22"/>
          <w:szCs w:val="22"/>
        </w:rPr>
        <w:t>initial responsibility</w:t>
      </w:r>
      <w:r w:rsidR="00E742D1" w:rsidRPr="00C739F2">
        <w:rPr>
          <w:bCs/>
          <w:sz w:val="22"/>
          <w:szCs w:val="22"/>
        </w:rPr>
        <w:t xml:space="preserve">  of the  sponsor/</w:t>
      </w:r>
      <w:r w:rsidRPr="00C739F2">
        <w:rPr>
          <w:bCs/>
          <w:sz w:val="22"/>
          <w:szCs w:val="22"/>
        </w:rPr>
        <w:t>investigator to</w:t>
      </w:r>
      <w:r w:rsidR="00E742D1" w:rsidRPr="00C739F2">
        <w:rPr>
          <w:bCs/>
          <w:sz w:val="22"/>
          <w:szCs w:val="22"/>
        </w:rPr>
        <w:t xml:space="preserve"> </w:t>
      </w:r>
      <w:r w:rsidRPr="00C739F2">
        <w:rPr>
          <w:bCs/>
          <w:sz w:val="22"/>
          <w:szCs w:val="22"/>
        </w:rPr>
        <w:t>determine whether</w:t>
      </w:r>
      <w:r w:rsidR="00E742D1" w:rsidRPr="00C739F2">
        <w:rPr>
          <w:bCs/>
          <w:sz w:val="22"/>
          <w:szCs w:val="22"/>
        </w:rPr>
        <w:t xml:space="preserve">  the  device  is Nonsignificant Risk (NSR) or Significant</w:t>
      </w:r>
      <w:r w:rsidR="00045A4E">
        <w:rPr>
          <w:bCs/>
          <w:sz w:val="22"/>
          <w:szCs w:val="22"/>
        </w:rPr>
        <w:t xml:space="preserve"> </w:t>
      </w:r>
      <w:r w:rsidR="00E742D1" w:rsidRPr="00C739F2">
        <w:rPr>
          <w:bCs/>
          <w:sz w:val="22"/>
          <w:szCs w:val="22"/>
        </w:rPr>
        <w:t>Risk</w:t>
      </w:r>
      <w:r w:rsidR="00045A4E">
        <w:rPr>
          <w:bCs/>
          <w:sz w:val="22"/>
          <w:szCs w:val="22"/>
        </w:rPr>
        <w:t xml:space="preserve"> </w:t>
      </w:r>
      <w:r w:rsidR="00E742D1" w:rsidRPr="00C739F2">
        <w:rPr>
          <w:bCs/>
          <w:sz w:val="22"/>
          <w:szCs w:val="22"/>
        </w:rPr>
        <w:t>(SR).</w:t>
      </w:r>
      <w:r w:rsidR="008E4317">
        <w:rPr>
          <w:bCs/>
          <w:sz w:val="22"/>
          <w:szCs w:val="22"/>
        </w:rPr>
        <w:t xml:space="preserve"> </w:t>
      </w:r>
      <w:r w:rsidRPr="00C739F2">
        <w:rPr>
          <w:bCs/>
          <w:sz w:val="22"/>
          <w:szCs w:val="22"/>
        </w:rPr>
        <w:t>This must be</w:t>
      </w:r>
      <w:r w:rsidR="00E742D1" w:rsidRPr="00C739F2">
        <w:rPr>
          <w:bCs/>
          <w:sz w:val="22"/>
          <w:szCs w:val="22"/>
        </w:rPr>
        <w:t xml:space="preserve"> </w:t>
      </w:r>
      <w:r w:rsidRPr="00C739F2">
        <w:rPr>
          <w:bCs/>
          <w:sz w:val="22"/>
          <w:szCs w:val="22"/>
        </w:rPr>
        <w:t>indicated in the IRB</w:t>
      </w:r>
      <w:r w:rsidR="00E742D1" w:rsidRPr="00C739F2">
        <w:rPr>
          <w:bCs/>
          <w:sz w:val="22"/>
          <w:szCs w:val="22"/>
        </w:rPr>
        <w:t xml:space="preserve"> application.</w:t>
      </w:r>
    </w:p>
    <w:p w14:paraId="6827E581" w14:textId="77777777" w:rsidR="00E742D1" w:rsidRPr="00C739F2" w:rsidRDefault="00E742D1" w:rsidP="004B0FF8">
      <w:pPr>
        <w:pStyle w:val="SOPLevel3"/>
        <w:spacing w:before="0" w:after="0" w:line="276" w:lineRule="auto"/>
        <w:ind w:left="1710" w:hanging="774"/>
        <w:rPr>
          <w:sz w:val="22"/>
          <w:szCs w:val="22"/>
        </w:rPr>
      </w:pPr>
      <w:r w:rsidRPr="00C739F2">
        <w:rPr>
          <w:sz w:val="22"/>
          <w:szCs w:val="22"/>
        </w:rPr>
        <w:t>If NSR, no FDA IDE approval is required.</w:t>
      </w:r>
    </w:p>
    <w:p w14:paraId="40695EA5" w14:textId="12C6EE6C" w:rsidR="00E742D1" w:rsidRPr="00C739F2" w:rsidRDefault="00553015" w:rsidP="004B0FF8">
      <w:pPr>
        <w:pStyle w:val="SOPLevel3"/>
        <w:spacing w:before="0" w:after="0" w:line="276" w:lineRule="auto"/>
        <w:ind w:left="1710" w:hanging="774"/>
        <w:rPr>
          <w:sz w:val="22"/>
          <w:szCs w:val="22"/>
        </w:rPr>
      </w:pPr>
      <w:r w:rsidRPr="00553015">
        <w:rPr>
          <w:bCs/>
          <w:sz w:val="22"/>
          <w:szCs w:val="22"/>
        </w:rPr>
        <w:t>If the sponsor/investigator believes the study involves a Significant Risk device, an IDE application must be submitted to FDA. Final IRB approval cannot be granted until FDA approval of the IDE is documented.</w:t>
      </w:r>
    </w:p>
    <w:p w14:paraId="3D2ABF54" w14:textId="07F62B99" w:rsidR="001B2FEB" w:rsidRPr="00C739F2" w:rsidRDefault="00E742D1" w:rsidP="004B0FF8">
      <w:pPr>
        <w:pStyle w:val="SOPLevel2"/>
        <w:spacing w:before="0" w:after="0" w:line="276" w:lineRule="auto"/>
        <w:ind w:left="900" w:hanging="630"/>
        <w:rPr>
          <w:sz w:val="22"/>
          <w:szCs w:val="22"/>
        </w:rPr>
      </w:pPr>
      <w:r w:rsidRPr="00C739F2">
        <w:rPr>
          <w:sz w:val="22"/>
          <w:szCs w:val="22"/>
        </w:rPr>
        <w:t xml:space="preserve">It </w:t>
      </w:r>
      <w:r w:rsidR="002D59E3" w:rsidRPr="00C739F2">
        <w:rPr>
          <w:sz w:val="22"/>
          <w:szCs w:val="22"/>
        </w:rPr>
        <w:t>is the</w:t>
      </w:r>
      <w:r w:rsidRPr="00C739F2">
        <w:rPr>
          <w:sz w:val="22"/>
          <w:szCs w:val="22"/>
        </w:rPr>
        <w:t xml:space="preserve"> </w:t>
      </w:r>
      <w:r w:rsidR="002D59E3" w:rsidRPr="00C739F2">
        <w:rPr>
          <w:sz w:val="22"/>
          <w:szCs w:val="22"/>
        </w:rPr>
        <w:t>responsibility of</w:t>
      </w:r>
      <w:r w:rsidRPr="00C739F2">
        <w:rPr>
          <w:sz w:val="22"/>
          <w:szCs w:val="22"/>
        </w:rPr>
        <w:t xml:space="preserve"> the IRB to either</w:t>
      </w:r>
      <w:r w:rsidR="008E4317">
        <w:rPr>
          <w:sz w:val="22"/>
          <w:szCs w:val="22"/>
        </w:rPr>
        <w:t xml:space="preserve"> </w:t>
      </w:r>
      <w:r w:rsidRPr="00C739F2">
        <w:rPr>
          <w:sz w:val="22"/>
          <w:szCs w:val="22"/>
        </w:rPr>
        <w:t xml:space="preserve">agree or </w:t>
      </w:r>
      <w:r w:rsidR="002D59E3" w:rsidRPr="00C739F2">
        <w:rPr>
          <w:sz w:val="22"/>
          <w:szCs w:val="22"/>
        </w:rPr>
        <w:t>disagree with</w:t>
      </w:r>
      <w:r w:rsidRPr="00C739F2">
        <w:rPr>
          <w:sz w:val="22"/>
          <w:szCs w:val="22"/>
        </w:rPr>
        <w:t xml:space="preserve"> the sponsor/investigator's determination of NSR or SR.</w:t>
      </w:r>
    </w:p>
    <w:p w14:paraId="62A9F8F8" w14:textId="77777777" w:rsidR="001B2FEB" w:rsidRPr="00C739F2" w:rsidRDefault="00E742D1" w:rsidP="004B0FF8">
      <w:pPr>
        <w:pStyle w:val="SOPLevel3"/>
        <w:spacing w:before="0" w:after="0" w:line="276" w:lineRule="auto"/>
        <w:ind w:left="1710" w:hanging="774"/>
        <w:rPr>
          <w:sz w:val="22"/>
          <w:szCs w:val="22"/>
        </w:rPr>
      </w:pPr>
      <w:r w:rsidRPr="00C739F2">
        <w:rPr>
          <w:sz w:val="22"/>
          <w:szCs w:val="22"/>
        </w:rPr>
        <w:t>If the IRB agrees that the device study is NSR and approves the study, it may commence without FDA submission.</w:t>
      </w:r>
    </w:p>
    <w:p w14:paraId="17BC44CB" w14:textId="7FC0009D" w:rsidR="00E742D1" w:rsidRPr="00C739F2" w:rsidRDefault="00F86997" w:rsidP="004B0FF8">
      <w:pPr>
        <w:pStyle w:val="SOPLevel3"/>
        <w:spacing w:before="0" w:after="0" w:line="276" w:lineRule="auto"/>
        <w:ind w:left="1710" w:hanging="774"/>
        <w:rPr>
          <w:bCs/>
          <w:sz w:val="22"/>
          <w:szCs w:val="22"/>
        </w:rPr>
      </w:pPr>
      <w:r w:rsidRPr="00F86997">
        <w:rPr>
          <w:bCs/>
          <w:sz w:val="22"/>
          <w:szCs w:val="22"/>
        </w:rPr>
        <w:t>If the IRB determines that the study involves a Non-Significant Risk device, the study may proceed under the abbreviated IDE requirements described in 21 CFR 812.2(b) without submission of an IDE application to FDA.</w:t>
      </w:r>
    </w:p>
    <w:p w14:paraId="53402FBC" w14:textId="77777777" w:rsidR="00042D92" w:rsidRPr="00C739F2" w:rsidRDefault="00042D92" w:rsidP="00E57C91">
      <w:pPr>
        <w:pStyle w:val="SOPLevel1"/>
        <w:spacing w:before="120" w:after="120"/>
        <w:rPr>
          <w:sz w:val="22"/>
          <w:szCs w:val="22"/>
        </w:rPr>
      </w:pPr>
      <w:r w:rsidRPr="00C739F2">
        <w:rPr>
          <w:sz w:val="22"/>
          <w:szCs w:val="22"/>
        </w:rPr>
        <w:t>MATERIALS</w:t>
      </w:r>
    </w:p>
    <w:p w14:paraId="6595A345" w14:textId="49992231" w:rsidR="001B2FEB" w:rsidRPr="00C739F2" w:rsidRDefault="001B2FEB" w:rsidP="00E57C91">
      <w:pPr>
        <w:pStyle w:val="SOPLevel1"/>
        <w:numPr>
          <w:ilvl w:val="0"/>
          <w:numId w:val="0"/>
        </w:numPr>
        <w:spacing w:before="120" w:after="120"/>
        <w:ind w:left="360"/>
        <w:rPr>
          <w:b w:val="0"/>
          <w:bCs/>
          <w:sz w:val="22"/>
          <w:szCs w:val="22"/>
        </w:rPr>
      </w:pPr>
      <w:r w:rsidRPr="00C739F2">
        <w:rPr>
          <w:b w:val="0"/>
          <w:bCs/>
          <w:sz w:val="22"/>
          <w:szCs w:val="22"/>
        </w:rPr>
        <w:t>None</w:t>
      </w:r>
      <w:r w:rsidR="00045A4E">
        <w:rPr>
          <w:b w:val="0"/>
          <w:bCs/>
          <w:sz w:val="22"/>
          <w:szCs w:val="22"/>
        </w:rPr>
        <w:t>.</w:t>
      </w:r>
    </w:p>
    <w:p w14:paraId="6B923CA9" w14:textId="6AA44E50" w:rsidR="00E37C41" w:rsidRPr="004B0FF8" w:rsidRDefault="00042D92" w:rsidP="004B0FF8">
      <w:pPr>
        <w:pStyle w:val="SOPLevel1"/>
        <w:spacing w:before="120" w:after="120"/>
        <w:rPr>
          <w:sz w:val="22"/>
          <w:szCs w:val="22"/>
        </w:rPr>
      </w:pPr>
      <w:r w:rsidRPr="00045A4E">
        <w:rPr>
          <w:sz w:val="22"/>
          <w:szCs w:val="22"/>
        </w:rPr>
        <w:t>REFERENCES</w:t>
      </w:r>
    </w:p>
    <w:p w14:paraId="60219942" w14:textId="19F7B525" w:rsidR="00E37C41" w:rsidRPr="004B0FF8" w:rsidRDefault="00C611EC" w:rsidP="004B0FF8">
      <w:pPr>
        <w:pStyle w:val="SOPLevel2"/>
        <w:rPr>
          <w:sz w:val="22"/>
          <w:szCs w:val="22"/>
        </w:rPr>
      </w:pPr>
      <w:r w:rsidRPr="004B0FF8">
        <w:rPr>
          <w:sz w:val="22"/>
          <w:szCs w:val="22"/>
        </w:rPr>
        <w:t>IDE</w:t>
      </w:r>
    </w:p>
    <w:p w14:paraId="1EAFB17D" w14:textId="77777777" w:rsidR="00C611EC" w:rsidRPr="004B0FF8" w:rsidRDefault="00C611EC" w:rsidP="00E37C41">
      <w:pPr>
        <w:pStyle w:val="SOPLevel3"/>
        <w:rPr>
          <w:sz w:val="22"/>
          <w:szCs w:val="22"/>
        </w:rPr>
      </w:pPr>
      <w:r w:rsidRPr="004B0FF8">
        <w:rPr>
          <w:sz w:val="22"/>
          <w:szCs w:val="22"/>
        </w:rPr>
        <w:t xml:space="preserve">21 CFR Part 812 </w:t>
      </w:r>
    </w:p>
    <w:p w14:paraId="16057454" w14:textId="27EC62CC" w:rsidR="005D00E1" w:rsidRPr="004B0FF8" w:rsidRDefault="005D00E1" w:rsidP="00E37C41">
      <w:pPr>
        <w:pStyle w:val="SOPLevel3"/>
        <w:rPr>
          <w:sz w:val="22"/>
          <w:szCs w:val="22"/>
        </w:rPr>
      </w:pPr>
      <w:r w:rsidRPr="004B0FF8">
        <w:rPr>
          <w:sz w:val="22"/>
          <w:szCs w:val="22"/>
        </w:rPr>
        <w:t xml:space="preserve">FDA Guidance: </w:t>
      </w:r>
      <w:r w:rsidRPr="004B0FF8">
        <w:rPr>
          <w:i/>
          <w:iCs/>
          <w:sz w:val="22"/>
          <w:szCs w:val="22"/>
        </w:rPr>
        <w:t>Significant Risk and Nonsignificant Risk Medical Device Studies</w:t>
      </w:r>
      <w:r w:rsidRPr="004B0FF8">
        <w:rPr>
          <w:sz w:val="22"/>
          <w:szCs w:val="22"/>
        </w:rPr>
        <w:t xml:space="preserve"> </w:t>
      </w:r>
    </w:p>
    <w:p w14:paraId="1F0FD57F" w14:textId="2B5ADBF6" w:rsidR="00152321" w:rsidRPr="004B0FF8" w:rsidRDefault="00152321" w:rsidP="004B0FF8">
      <w:pPr>
        <w:pStyle w:val="SOPLevel3"/>
        <w:ind w:left="2070" w:hanging="774"/>
        <w:rPr>
          <w:sz w:val="22"/>
          <w:szCs w:val="22"/>
        </w:rPr>
      </w:pPr>
      <w:r w:rsidRPr="004B0FF8">
        <w:rPr>
          <w:sz w:val="22"/>
          <w:szCs w:val="22"/>
        </w:rPr>
        <w:t xml:space="preserve">FDA Guidance: </w:t>
      </w:r>
      <w:r w:rsidR="00651D9E" w:rsidRPr="004B0FF8">
        <w:rPr>
          <w:i/>
          <w:iCs/>
          <w:sz w:val="22"/>
          <w:szCs w:val="22"/>
        </w:rPr>
        <w:t xml:space="preserve">FDA Decisions for Investigational Device Exemption Clinical Investigations </w:t>
      </w:r>
    </w:p>
    <w:p w14:paraId="5621207E" w14:textId="2F773BA8" w:rsidR="00D04BD8" w:rsidRPr="004B0FF8" w:rsidRDefault="00D04BD8" w:rsidP="00D04BD8">
      <w:pPr>
        <w:pStyle w:val="SOPLevel2"/>
        <w:rPr>
          <w:sz w:val="22"/>
          <w:szCs w:val="22"/>
        </w:rPr>
      </w:pPr>
      <w:r w:rsidRPr="004B0FF8">
        <w:rPr>
          <w:sz w:val="22"/>
          <w:szCs w:val="22"/>
        </w:rPr>
        <w:t xml:space="preserve">Human Subjects </w:t>
      </w:r>
    </w:p>
    <w:p w14:paraId="3DC472B8" w14:textId="671A870E" w:rsidR="00D04BD8" w:rsidRPr="004B0FF8" w:rsidRDefault="00D04BD8" w:rsidP="004B0FF8">
      <w:pPr>
        <w:pStyle w:val="SOPLevel3"/>
        <w:rPr>
          <w:sz w:val="22"/>
          <w:szCs w:val="22"/>
        </w:rPr>
      </w:pPr>
      <w:r w:rsidRPr="004B0FF8">
        <w:rPr>
          <w:sz w:val="22"/>
          <w:szCs w:val="22"/>
        </w:rPr>
        <w:t>21 CFR Parts 50 and 56</w:t>
      </w:r>
    </w:p>
    <w:p w14:paraId="16BBB3CF" w14:textId="77777777" w:rsidR="00C611EC" w:rsidRPr="00C739F2" w:rsidRDefault="00C611EC" w:rsidP="00E57C91">
      <w:pPr>
        <w:pStyle w:val="SOPLevel2"/>
        <w:numPr>
          <w:ilvl w:val="0"/>
          <w:numId w:val="0"/>
        </w:numPr>
        <w:ind w:left="360"/>
        <w:rPr>
          <w:sz w:val="22"/>
          <w:szCs w:val="22"/>
        </w:rPr>
      </w:pPr>
    </w:p>
    <w:sectPr w:rsidR="00C611EC" w:rsidRPr="00C739F2" w:rsidSect="00B971DE">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E697" w14:textId="77777777" w:rsidR="00EB7FF7" w:rsidRDefault="00EB7FF7">
      <w:pPr>
        <w:spacing w:after="0" w:line="240" w:lineRule="auto"/>
      </w:pPr>
      <w:r>
        <w:separator/>
      </w:r>
    </w:p>
  </w:endnote>
  <w:endnote w:type="continuationSeparator" w:id="0">
    <w:p w14:paraId="287E5495" w14:textId="77777777" w:rsidR="00EB7FF7" w:rsidRDefault="00EB7FF7">
      <w:pPr>
        <w:spacing w:after="0" w:line="240" w:lineRule="auto"/>
      </w:pPr>
      <w:r>
        <w:continuationSeparator/>
      </w:r>
    </w:p>
  </w:endnote>
  <w:endnote w:type="continuationNotice" w:id="1">
    <w:p w14:paraId="686E64B3" w14:textId="77777777" w:rsidR="00EB7FF7" w:rsidRDefault="00EB7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DE25" w14:textId="77777777" w:rsidR="007E389A" w:rsidRPr="0068705C" w:rsidRDefault="007E389A" w:rsidP="007E389A">
    <w:pPr>
      <w:pStyle w:val="Footer"/>
    </w:pPr>
  </w:p>
  <w:sdt>
    <w:sdtPr>
      <w:rPr>
        <w:rFonts w:ascii="Arial" w:eastAsia="Arial" w:hAnsi="Arial" w:cs="Arial"/>
      </w:rPr>
      <w:id w:val="-706714109"/>
      <w:docPartObj>
        <w:docPartGallery w:val="Page Numbers (Bottom of Page)"/>
        <w:docPartUnique/>
      </w:docPartObj>
    </w:sdtPr>
    <w:sdtEndPr>
      <w:rPr>
        <w:noProof/>
      </w:rPr>
    </w:sdtEndPr>
    <w:sdtContent>
      <w:p w14:paraId="4F61C074" w14:textId="77777777" w:rsidR="006D5930" w:rsidRPr="006D5930" w:rsidRDefault="006D5930" w:rsidP="006D5930">
        <w:pPr>
          <w:widowControl w:val="0"/>
          <w:tabs>
            <w:tab w:val="center" w:pos="4680"/>
            <w:tab w:val="right" w:pos="9360"/>
          </w:tabs>
          <w:autoSpaceDE w:val="0"/>
          <w:autoSpaceDN w:val="0"/>
          <w:spacing w:after="0" w:line="240" w:lineRule="auto"/>
          <w:jc w:val="center"/>
          <w:rPr>
            <w:rFonts w:ascii="Arial" w:eastAsia="Arial" w:hAnsi="Arial" w:cs="Arial"/>
            <w:sz w:val="18"/>
            <w:szCs w:val="18"/>
          </w:rPr>
        </w:pPr>
        <w:r w:rsidRPr="006D5930">
          <w:rPr>
            <w:rFonts w:ascii="Arial" w:eastAsia="Arial" w:hAnsi="Arial" w:cs="Arial"/>
            <w:sz w:val="18"/>
            <w:szCs w:val="18"/>
          </w:rPr>
          <w:t xml:space="preserve">Page </w:t>
        </w:r>
        <w:r w:rsidRPr="006D5930">
          <w:rPr>
            <w:rFonts w:ascii="Arial" w:eastAsia="Arial" w:hAnsi="Arial" w:cs="Arial"/>
            <w:b/>
            <w:bCs/>
            <w:sz w:val="18"/>
            <w:szCs w:val="18"/>
          </w:rPr>
          <w:fldChar w:fldCharType="begin"/>
        </w:r>
        <w:r w:rsidRPr="006D5930">
          <w:rPr>
            <w:rFonts w:ascii="Arial" w:eastAsia="Arial" w:hAnsi="Arial" w:cs="Arial"/>
            <w:b/>
            <w:bCs/>
            <w:sz w:val="18"/>
            <w:szCs w:val="18"/>
          </w:rPr>
          <w:instrText xml:space="preserve"> PAGE  \* Arabic  \* MERGEFORMAT </w:instrText>
        </w:r>
        <w:r w:rsidRPr="006D5930">
          <w:rPr>
            <w:rFonts w:ascii="Arial" w:eastAsia="Arial" w:hAnsi="Arial" w:cs="Arial"/>
            <w:b/>
            <w:bCs/>
            <w:sz w:val="18"/>
            <w:szCs w:val="18"/>
          </w:rPr>
          <w:fldChar w:fldCharType="separate"/>
        </w:r>
        <w:r w:rsidRPr="006D5930">
          <w:rPr>
            <w:rFonts w:ascii="Arial" w:eastAsia="Arial" w:hAnsi="Arial" w:cs="Arial"/>
            <w:b/>
            <w:bCs/>
            <w:sz w:val="18"/>
            <w:szCs w:val="18"/>
          </w:rPr>
          <w:t>1</w:t>
        </w:r>
        <w:r w:rsidRPr="006D5930">
          <w:rPr>
            <w:rFonts w:ascii="Arial" w:eastAsia="Arial" w:hAnsi="Arial" w:cs="Arial"/>
            <w:b/>
            <w:bCs/>
            <w:sz w:val="18"/>
            <w:szCs w:val="18"/>
          </w:rPr>
          <w:fldChar w:fldCharType="end"/>
        </w:r>
        <w:r w:rsidRPr="006D5930">
          <w:rPr>
            <w:rFonts w:ascii="Arial" w:eastAsia="Arial" w:hAnsi="Arial" w:cs="Arial"/>
            <w:sz w:val="18"/>
            <w:szCs w:val="18"/>
          </w:rPr>
          <w:t xml:space="preserve"> of </w:t>
        </w:r>
        <w:r w:rsidRPr="006D5930">
          <w:rPr>
            <w:rFonts w:ascii="Arial" w:eastAsia="Arial" w:hAnsi="Arial" w:cs="Arial"/>
            <w:b/>
            <w:bCs/>
            <w:sz w:val="18"/>
            <w:szCs w:val="18"/>
          </w:rPr>
          <w:fldChar w:fldCharType="begin"/>
        </w:r>
        <w:r w:rsidRPr="006D5930">
          <w:rPr>
            <w:rFonts w:ascii="Arial" w:eastAsia="Arial" w:hAnsi="Arial" w:cs="Arial"/>
            <w:b/>
            <w:bCs/>
            <w:sz w:val="18"/>
            <w:szCs w:val="18"/>
          </w:rPr>
          <w:instrText xml:space="preserve"> NUMPAGES  \* Arabic  \* MERGEFORMAT </w:instrText>
        </w:r>
        <w:r w:rsidRPr="006D5930">
          <w:rPr>
            <w:rFonts w:ascii="Arial" w:eastAsia="Arial" w:hAnsi="Arial" w:cs="Arial"/>
            <w:b/>
            <w:bCs/>
            <w:sz w:val="18"/>
            <w:szCs w:val="18"/>
          </w:rPr>
          <w:fldChar w:fldCharType="separate"/>
        </w:r>
        <w:r w:rsidRPr="006D5930">
          <w:rPr>
            <w:rFonts w:ascii="Arial" w:eastAsia="Arial" w:hAnsi="Arial" w:cs="Arial"/>
            <w:b/>
            <w:bCs/>
            <w:sz w:val="18"/>
            <w:szCs w:val="18"/>
          </w:rPr>
          <w:t>3</w:t>
        </w:r>
        <w:r w:rsidRPr="006D5930">
          <w:rPr>
            <w:rFonts w:ascii="Arial" w:eastAsia="Arial" w:hAnsi="Arial" w:cs="Arial"/>
            <w:b/>
            <w:bCs/>
            <w:sz w:val="18"/>
            <w:szCs w:val="18"/>
          </w:rPr>
          <w:fldChar w:fldCharType="end"/>
        </w:r>
      </w:p>
      <w:p w14:paraId="7420FAEE" w14:textId="77777777" w:rsidR="006D5930" w:rsidRPr="006D5930" w:rsidRDefault="00C15B38" w:rsidP="006D5930">
        <w:pPr>
          <w:widowControl w:val="0"/>
          <w:tabs>
            <w:tab w:val="center" w:pos="4680"/>
            <w:tab w:val="right" w:pos="9360"/>
          </w:tabs>
          <w:autoSpaceDE w:val="0"/>
          <w:autoSpaceDN w:val="0"/>
          <w:spacing w:after="0" w:line="240" w:lineRule="auto"/>
          <w:jc w:val="center"/>
          <w:rPr>
            <w:rFonts w:ascii="Arial" w:eastAsia="Arial" w:hAnsi="Arial" w:cs="Arial"/>
            <w:noProof/>
          </w:rPr>
        </w:pPr>
      </w:p>
    </w:sdtContent>
  </w:sdt>
  <w:p w14:paraId="53402FE3" w14:textId="19C6101E" w:rsidR="00C739F2" w:rsidRPr="007E389A" w:rsidRDefault="00C739F2" w:rsidP="007E3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Arial"/>
      </w:rPr>
      <w:id w:val="-658617163"/>
      <w:docPartObj>
        <w:docPartGallery w:val="Page Numbers (Bottom of Page)"/>
        <w:docPartUnique/>
      </w:docPartObj>
    </w:sdtPr>
    <w:sdtEndPr>
      <w:rPr>
        <w:noProof/>
      </w:rPr>
    </w:sdtEndPr>
    <w:sdtContent>
      <w:p w14:paraId="05EA60E0" w14:textId="77777777" w:rsidR="00975E93" w:rsidRPr="00975E93" w:rsidRDefault="00975E93" w:rsidP="00975E93">
        <w:pPr>
          <w:widowControl w:val="0"/>
          <w:tabs>
            <w:tab w:val="center" w:pos="4680"/>
            <w:tab w:val="right" w:pos="9360"/>
          </w:tabs>
          <w:autoSpaceDE w:val="0"/>
          <w:autoSpaceDN w:val="0"/>
          <w:spacing w:after="0" w:line="240" w:lineRule="auto"/>
          <w:jc w:val="center"/>
          <w:rPr>
            <w:rFonts w:ascii="Arial" w:eastAsia="Arial" w:hAnsi="Arial" w:cs="Arial"/>
            <w:sz w:val="18"/>
            <w:szCs w:val="18"/>
          </w:rPr>
        </w:pPr>
        <w:r w:rsidRPr="00975E93">
          <w:rPr>
            <w:rFonts w:ascii="Arial" w:eastAsia="Arial" w:hAnsi="Arial" w:cs="Arial"/>
            <w:sz w:val="18"/>
            <w:szCs w:val="18"/>
          </w:rPr>
          <w:t xml:space="preserve">Page </w:t>
        </w:r>
        <w:r w:rsidRPr="00975E93">
          <w:rPr>
            <w:rFonts w:ascii="Arial" w:eastAsia="Arial" w:hAnsi="Arial" w:cs="Arial"/>
            <w:b/>
            <w:bCs/>
            <w:sz w:val="18"/>
            <w:szCs w:val="18"/>
          </w:rPr>
          <w:fldChar w:fldCharType="begin"/>
        </w:r>
        <w:r w:rsidRPr="00975E93">
          <w:rPr>
            <w:rFonts w:ascii="Arial" w:eastAsia="Arial" w:hAnsi="Arial" w:cs="Arial"/>
            <w:b/>
            <w:bCs/>
            <w:sz w:val="18"/>
            <w:szCs w:val="18"/>
          </w:rPr>
          <w:instrText xml:space="preserve"> PAGE  \* Arabic  \* MERGEFORMAT </w:instrText>
        </w:r>
        <w:r w:rsidRPr="00975E93">
          <w:rPr>
            <w:rFonts w:ascii="Arial" w:eastAsia="Arial" w:hAnsi="Arial" w:cs="Arial"/>
            <w:b/>
            <w:bCs/>
            <w:sz w:val="18"/>
            <w:szCs w:val="18"/>
          </w:rPr>
          <w:fldChar w:fldCharType="separate"/>
        </w:r>
        <w:r w:rsidRPr="00975E93">
          <w:rPr>
            <w:rFonts w:ascii="Arial" w:eastAsia="Arial" w:hAnsi="Arial" w:cs="Arial"/>
            <w:b/>
            <w:bCs/>
            <w:sz w:val="18"/>
            <w:szCs w:val="18"/>
          </w:rPr>
          <w:t>1</w:t>
        </w:r>
        <w:r w:rsidRPr="00975E93">
          <w:rPr>
            <w:rFonts w:ascii="Arial" w:eastAsia="Arial" w:hAnsi="Arial" w:cs="Arial"/>
            <w:b/>
            <w:bCs/>
            <w:sz w:val="18"/>
            <w:szCs w:val="18"/>
          </w:rPr>
          <w:fldChar w:fldCharType="end"/>
        </w:r>
        <w:r w:rsidRPr="00975E93">
          <w:rPr>
            <w:rFonts w:ascii="Arial" w:eastAsia="Arial" w:hAnsi="Arial" w:cs="Arial"/>
            <w:sz w:val="18"/>
            <w:szCs w:val="18"/>
          </w:rPr>
          <w:t xml:space="preserve"> of </w:t>
        </w:r>
        <w:r w:rsidRPr="00975E93">
          <w:rPr>
            <w:rFonts w:ascii="Arial" w:eastAsia="Arial" w:hAnsi="Arial" w:cs="Arial"/>
            <w:b/>
            <w:bCs/>
            <w:sz w:val="18"/>
            <w:szCs w:val="18"/>
          </w:rPr>
          <w:fldChar w:fldCharType="begin"/>
        </w:r>
        <w:r w:rsidRPr="00975E93">
          <w:rPr>
            <w:rFonts w:ascii="Arial" w:eastAsia="Arial" w:hAnsi="Arial" w:cs="Arial"/>
            <w:b/>
            <w:bCs/>
            <w:sz w:val="18"/>
            <w:szCs w:val="18"/>
          </w:rPr>
          <w:instrText xml:space="preserve"> NUMPAGES  \* Arabic  \* MERGEFORMAT </w:instrText>
        </w:r>
        <w:r w:rsidRPr="00975E93">
          <w:rPr>
            <w:rFonts w:ascii="Arial" w:eastAsia="Arial" w:hAnsi="Arial" w:cs="Arial"/>
            <w:b/>
            <w:bCs/>
            <w:sz w:val="18"/>
            <w:szCs w:val="18"/>
          </w:rPr>
          <w:fldChar w:fldCharType="separate"/>
        </w:r>
        <w:r w:rsidRPr="00975E93">
          <w:rPr>
            <w:rFonts w:ascii="Arial" w:eastAsia="Arial" w:hAnsi="Arial" w:cs="Arial"/>
            <w:b/>
            <w:bCs/>
            <w:sz w:val="18"/>
            <w:szCs w:val="18"/>
          </w:rPr>
          <w:t>3</w:t>
        </w:r>
        <w:r w:rsidRPr="00975E93">
          <w:rPr>
            <w:rFonts w:ascii="Arial" w:eastAsia="Arial" w:hAnsi="Arial" w:cs="Arial"/>
            <w:b/>
            <w:bCs/>
            <w:sz w:val="18"/>
            <w:szCs w:val="18"/>
          </w:rPr>
          <w:fldChar w:fldCharType="end"/>
        </w:r>
      </w:p>
      <w:p w14:paraId="0B93236E" w14:textId="77777777" w:rsidR="00975E93" w:rsidRPr="00975E93" w:rsidRDefault="00C15B38" w:rsidP="00975E93">
        <w:pPr>
          <w:widowControl w:val="0"/>
          <w:tabs>
            <w:tab w:val="center" w:pos="4680"/>
            <w:tab w:val="right" w:pos="9360"/>
          </w:tabs>
          <w:autoSpaceDE w:val="0"/>
          <w:autoSpaceDN w:val="0"/>
          <w:spacing w:after="0" w:line="240" w:lineRule="auto"/>
          <w:jc w:val="center"/>
          <w:rPr>
            <w:rFonts w:ascii="Arial" w:eastAsia="Arial" w:hAnsi="Arial" w:cs="Arial"/>
            <w:noProof/>
          </w:rPr>
        </w:pPr>
      </w:p>
    </w:sdtContent>
  </w:sdt>
  <w:p w14:paraId="25454C07" w14:textId="5754D440" w:rsidR="002773A6" w:rsidRDefault="00277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5240" w14:textId="77777777" w:rsidR="00EB7FF7" w:rsidRDefault="00EB7FF7">
      <w:pPr>
        <w:spacing w:after="0" w:line="240" w:lineRule="auto"/>
      </w:pPr>
      <w:r>
        <w:separator/>
      </w:r>
    </w:p>
  </w:footnote>
  <w:footnote w:type="continuationSeparator" w:id="0">
    <w:p w14:paraId="358F7E0A" w14:textId="77777777" w:rsidR="00EB7FF7" w:rsidRDefault="00EB7FF7">
      <w:pPr>
        <w:spacing w:after="0" w:line="240" w:lineRule="auto"/>
      </w:pPr>
      <w:r>
        <w:continuationSeparator/>
      </w:r>
    </w:p>
  </w:footnote>
  <w:footnote w:type="continuationNotice" w:id="1">
    <w:p w14:paraId="0DE271A9" w14:textId="77777777" w:rsidR="00EB7FF7" w:rsidRDefault="00EB7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3551" w14:textId="44D60F18" w:rsidR="00062D1A" w:rsidRPr="007126C0" w:rsidRDefault="00062D1A" w:rsidP="00B971DE">
    <w:pPr>
      <w:spacing w:after="0"/>
      <w:jc w:val="center"/>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F7EC" w14:textId="736F6F37" w:rsidR="0026264A" w:rsidRDefault="007854B8" w:rsidP="0026264A">
    <w:pPr>
      <w:pStyle w:val="Header"/>
      <w:jc w:val="center"/>
    </w:pPr>
    <w:r w:rsidRPr="00AC7632">
      <w:rPr>
        <w:noProof/>
      </w:rPr>
      <w:drawing>
        <wp:inline distT="0" distB="0" distL="0" distR="0" wp14:anchorId="42167DF5" wp14:editId="73EAF33F">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70D1164B" w14:textId="77777777" w:rsidR="005E0D1D" w:rsidRDefault="005E0D1D" w:rsidP="00C739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42FE"/>
    <w:multiLevelType w:val="multilevel"/>
    <w:tmpl w:val="8A5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B32DC"/>
    <w:multiLevelType w:val="multilevel"/>
    <w:tmpl w:val="BDEA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61D78"/>
    <w:multiLevelType w:val="multilevel"/>
    <w:tmpl w:val="8F7869C4"/>
    <w:lvl w:ilvl="0">
      <w:start w:val="1"/>
      <w:numFmt w:val="decimal"/>
      <w:pStyle w:val="SOPLevel1"/>
      <w:lvlText w:val="%1"/>
      <w:lvlJc w:val="left"/>
      <w:pPr>
        <w:tabs>
          <w:tab w:val="num" w:pos="720"/>
        </w:tabs>
        <w:ind w:left="720" w:hanging="360"/>
      </w:pPr>
      <w:rPr>
        <w:rFonts w:hint="default"/>
      </w:rPr>
    </w:lvl>
    <w:lvl w:ilvl="1">
      <w:start w:val="1"/>
      <w:numFmt w:val="decimal"/>
      <w:pStyle w:val="SOPLevel2"/>
      <w:lvlText w:val="%1.%2"/>
      <w:lvlJc w:val="left"/>
      <w:pPr>
        <w:tabs>
          <w:tab w:val="num" w:pos="1296"/>
        </w:tabs>
        <w:ind w:left="93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2088"/>
        </w:tabs>
        <w:ind w:left="1152" w:firstLine="144"/>
      </w:pPr>
      <w:rPr>
        <w:rFonts w:hint="default"/>
        <w:b w:val="0"/>
        <w:i w:val="0"/>
        <w:sz w:val="22"/>
        <w:szCs w:val="22"/>
      </w:rPr>
    </w:lvl>
    <w:lvl w:ilvl="3">
      <w:start w:val="1"/>
      <w:numFmt w:val="decimal"/>
      <w:pStyle w:val="SOPLevel4"/>
      <w:lvlText w:val="%1.%2.%3.%4"/>
      <w:lvlJc w:val="left"/>
      <w:pPr>
        <w:tabs>
          <w:tab w:val="num" w:pos="3258"/>
        </w:tabs>
        <w:ind w:left="1530" w:firstLine="720"/>
      </w:pPr>
      <w:rPr>
        <w:rFonts w:hint="default"/>
        <w:b w:val="0"/>
        <w:i w:val="0"/>
        <w:strike w:val="0"/>
        <w:dstrike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4320"/>
        </w:tabs>
        <w:ind w:left="1584" w:firstLine="1512"/>
      </w:pPr>
      <w:rPr>
        <w:rFonts w:hint="default"/>
      </w:rPr>
    </w:lvl>
    <w:lvl w:ilvl="5">
      <w:start w:val="1"/>
      <w:numFmt w:val="decimal"/>
      <w:pStyle w:val="SOPLevel6"/>
      <w:lvlText w:val="%1.%2.%3.%4.%5.%6"/>
      <w:lvlJc w:val="left"/>
      <w:pPr>
        <w:tabs>
          <w:tab w:val="num" w:pos="5760"/>
        </w:tabs>
        <w:ind w:left="1800" w:firstLine="2520"/>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16cid:durableId="569735652">
    <w:abstractNumId w:val="2"/>
  </w:num>
  <w:num w:numId="2" w16cid:durableId="1247182364">
    <w:abstractNumId w:val="2"/>
    <w:lvlOverride w:ilvl="0">
      <w:startOverride w:val="1"/>
    </w:lvlOverride>
  </w:num>
  <w:num w:numId="3" w16cid:durableId="628585169">
    <w:abstractNumId w:val="2"/>
  </w:num>
  <w:num w:numId="4" w16cid:durableId="1142575743">
    <w:abstractNumId w:val="2"/>
  </w:num>
  <w:num w:numId="5" w16cid:durableId="1229998150">
    <w:abstractNumId w:val="2"/>
  </w:num>
  <w:num w:numId="6" w16cid:durableId="1572036437">
    <w:abstractNumId w:val="2"/>
  </w:num>
  <w:num w:numId="7" w16cid:durableId="1316030464">
    <w:abstractNumId w:val="1"/>
  </w:num>
  <w:num w:numId="8" w16cid:durableId="44257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92"/>
    <w:rsid w:val="00027746"/>
    <w:rsid w:val="00042D92"/>
    <w:rsid w:val="00045A4E"/>
    <w:rsid w:val="00062D1A"/>
    <w:rsid w:val="0007039B"/>
    <w:rsid w:val="000741CD"/>
    <w:rsid w:val="000828CE"/>
    <w:rsid w:val="00087983"/>
    <w:rsid w:val="00095BF8"/>
    <w:rsid w:val="000A59DE"/>
    <w:rsid w:val="000B38C8"/>
    <w:rsid w:val="000B7AE6"/>
    <w:rsid w:val="000C25B3"/>
    <w:rsid w:val="000C4959"/>
    <w:rsid w:val="00100F42"/>
    <w:rsid w:val="00107858"/>
    <w:rsid w:val="00111392"/>
    <w:rsid w:val="0013527C"/>
    <w:rsid w:val="00152321"/>
    <w:rsid w:val="00180500"/>
    <w:rsid w:val="001A5924"/>
    <w:rsid w:val="001B2FEB"/>
    <w:rsid w:val="001C6DAD"/>
    <w:rsid w:val="001D0841"/>
    <w:rsid w:val="001D5F84"/>
    <w:rsid w:val="001E7525"/>
    <w:rsid w:val="002011B0"/>
    <w:rsid w:val="002067C3"/>
    <w:rsid w:val="00222843"/>
    <w:rsid w:val="00223056"/>
    <w:rsid w:val="00231461"/>
    <w:rsid w:val="00235987"/>
    <w:rsid w:val="00237D0A"/>
    <w:rsid w:val="00241090"/>
    <w:rsid w:val="00246EF2"/>
    <w:rsid w:val="0026264A"/>
    <w:rsid w:val="0026706B"/>
    <w:rsid w:val="00273DDD"/>
    <w:rsid w:val="002773A6"/>
    <w:rsid w:val="00287049"/>
    <w:rsid w:val="00295401"/>
    <w:rsid w:val="002A5F7C"/>
    <w:rsid w:val="002D2632"/>
    <w:rsid w:val="002D5723"/>
    <w:rsid w:val="002D59E3"/>
    <w:rsid w:val="00301D19"/>
    <w:rsid w:val="0030337E"/>
    <w:rsid w:val="0031202F"/>
    <w:rsid w:val="00321736"/>
    <w:rsid w:val="00335CB4"/>
    <w:rsid w:val="00350B6C"/>
    <w:rsid w:val="00373B2F"/>
    <w:rsid w:val="00393383"/>
    <w:rsid w:val="00396B88"/>
    <w:rsid w:val="003B4CAC"/>
    <w:rsid w:val="003D4A9A"/>
    <w:rsid w:val="0044081A"/>
    <w:rsid w:val="004518CB"/>
    <w:rsid w:val="004A03C3"/>
    <w:rsid w:val="004B0FF8"/>
    <w:rsid w:val="004B1EE1"/>
    <w:rsid w:val="004D5052"/>
    <w:rsid w:val="005032D0"/>
    <w:rsid w:val="00527D9F"/>
    <w:rsid w:val="00545D86"/>
    <w:rsid w:val="0055134E"/>
    <w:rsid w:val="00553015"/>
    <w:rsid w:val="00591563"/>
    <w:rsid w:val="005975D6"/>
    <w:rsid w:val="005B5067"/>
    <w:rsid w:val="005D00E1"/>
    <w:rsid w:val="005E0D1D"/>
    <w:rsid w:val="005F3409"/>
    <w:rsid w:val="005F35F3"/>
    <w:rsid w:val="005F5231"/>
    <w:rsid w:val="005F6714"/>
    <w:rsid w:val="005F71EF"/>
    <w:rsid w:val="006066BB"/>
    <w:rsid w:val="0061477C"/>
    <w:rsid w:val="00621093"/>
    <w:rsid w:val="00651D9E"/>
    <w:rsid w:val="00662D80"/>
    <w:rsid w:val="00665520"/>
    <w:rsid w:val="00673CAD"/>
    <w:rsid w:val="006A2CF7"/>
    <w:rsid w:val="006C1C09"/>
    <w:rsid w:val="006D5930"/>
    <w:rsid w:val="007126C0"/>
    <w:rsid w:val="0072388B"/>
    <w:rsid w:val="0073241E"/>
    <w:rsid w:val="00784D32"/>
    <w:rsid w:val="007854B8"/>
    <w:rsid w:val="007942AC"/>
    <w:rsid w:val="007C6487"/>
    <w:rsid w:val="007D726B"/>
    <w:rsid w:val="007E389A"/>
    <w:rsid w:val="007F4860"/>
    <w:rsid w:val="008025CE"/>
    <w:rsid w:val="00810B15"/>
    <w:rsid w:val="00864626"/>
    <w:rsid w:val="00876691"/>
    <w:rsid w:val="008871A9"/>
    <w:rsid w:val="008B7D5D"/>
    <w:rsid w:val="008D0ACC"/>
    <w:rsid w:val="008D7360"/>
    <w:rsid w:val="008E4317"/>
    <w:rsid w:val="008E649D"/>
    <w:rsid w:val="008F44E5"/>
    <w:rsid w:val="0091183C"/>
    <w:rsid w:val="00913030"/>
    <w:rsid w:val="00925243"/>
    <w:rsid w:val="00932DFB"/>
    <w:rsid w:val="00935922"/>
    <w:rsid w:val="009654FF"/>
    <w:rsid w:val="00965982"/>
    <w:rsid w:val="00975E93"/>
    <w:rsid w:val="009B25BF"/>
    <w:rsid w:val="009B5282"/>
    <w:rsid w:val="009C2649"/>
    <w:rsid w:val="009F41E5"/>
    <w:rsid w:val="00A10187"/>
    <w:rsid w:val="00A27A7D"/>
    <w:rsid w:val="00A361D7"/>
    <w:rsid w:val="00A376F5"/>
    <w:rsid w:val="00A43487"/>
    <w:rsid w:val="00A46C6A"/>
    <w:rsid w:val="00A50FB4"/>
    <w:rsid w:val="00A538AE"/>
    <w:rsid w:val="00AC3873"/>
    <w:rsid w:val="00AE6A55"/>
    <w:rsid w:val="00B12136"/>
    <w:rsid w:val="00B14345"/>
    <w:rsid w:val="00B2613D"/>
    <w:rsid w:val="00B368CB"/>
    <w:rsid w:val="00B718FE"/>
    <w:rsid w:val="00B736FD"/>
    <w:rsid w:val="00B95138"/>
    <w:rsid w:val="00B971DE"/>
    <w:rsid w:val="00BB3036"/>
    <w:rsid w:val="00BC6DC4"/>
    <w:rsid w:val="00BD141A"/>
    <w:rsid w:val="00BD2FB7"/>
    <w:rsid w:val="00BD32DA"/>
    <w:rsid w:val="00C06F34"/>
    <w:rsid w:val="00C15B38"/>
    <w:rsid w:val="00C525A5"/>
    <w:rsid w:val="00C611EC"/>
    <w:rsid w:val="00C61F88"/>
    <w:rsid w:val="00C712FA"/>
    <w:rsid w:val="00C739F2"/>
    <w:rsid w:val="00CB2343"/>
    <w:rsid w:val="00D04BD8"/>
    <w:rsid w:val="00D07C52"/>
    <w:rsid w:val="00D13767"/>
    <w:rsid w:val="00D21AE8"/>
    <w:rsid w:val="00D47E79"/>
    <w:rsid w:val="00DA3FCF"/>
    <w:rsid w:val="00DA450C"/>
    <w:rsid w:val="00DB2F20"/>
    <w:rsid w:val="00DB7F20"/>
    <w:rsid w:val="00DC63EF"/>
    <w:rsid w:val="00DD2911"/>
    <w:rsid w:val="00DD3051"/>
    <w:rsid w:val="00E27146"/>
    <w:rsid w:val="00E37C41"/>
    <w:rsid w:val="00E40863"/>
    <w:rsid w:val="00E57C91"/>
    <w:rsid w:val="00E622C1"/>
    <w:rsid w:val="00E742D1"/>
    <w:rsid w:val="00EB666B"/>
    <w:rsid w:val="00EB7FF7"/>
    <w:rsid w:val="00EC5C7E"/>
    <w:rsid w:val="00ED403B"/>
    <w:rsid w:val="00F0591E"/>
    <w:rsid w:val="00F65047"/>
    <w:rsid w:val="00F67BEB"/>
    <w:rsid w:val="00F742D3"/>
    <w:rsid w:val="00F7614B"/>
    <w:rsid w:val="00F86997"/>
    <w:rsid w:val="00F86DAE"/>
    <w:rsid w:val="00FA30C3"/>
    <w:rsid w:val="00FD0D28"/>
    <w:rsid w:val="00FE2A2D"/>
    <w:rsid w:val="00FF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2F7F"/>
  <w15:docId w15:val="{6AF6F9BB-C2A7-47B8-880F-F5B3E29A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042D92"/>
    <w:pPr>
      <w:spacing w:after="0" w:line="240" w:lineRule="auto"/>
      <w:jc w:val="center"/>
    </w:pPr>
    <w:rPr>
      <w:rFonts w:ascii="Arial" w:eastAsia="Times New Roman" w:hAnsi="Arial" w:cs="Tahoma"/>
      <w:sz w:val="18"/>
      <w:szCs w:val="20"/>
    </w:rPr>
  </w:style>
  <w:style w:type="character" w:customStyle="1" w:styleId="SOPLeader">
    <w:name w:val="SOP Leader"/>
    <w:rsid w:val="00042D92"/>
    <w:rPr>
      <w:rFonts w:ascii="Calibri" w:hAnsi="Calibri"/>
      <w:b/>
      <w:sz w:val="24"/>
    </w:rPr>
  </w:style>
  <w:style w:type="paragraph" w:customStyle="1" w:styleId="SOPName">
    <w:name w:val="SOP Name"/>
    <w:basedOn w:val="Normal"/>
    <w:rsid w:val="00042D92"/>
    <w:pPr>
      <w:spacing w:after="0" w:line="240" w:lineRule="auto"/>
    </w:pPr>
    <w:rPr>
      <w:rFonts w:ascii="Arial" w:eastAsia="Times New Roman" w:hAnsi="Arial" w:cs="Tahoma"/>
      <w:sz w:val="24"/>
      <w:szCs w:val="20"/>
    </w:rPr>
  </w:style>
  <w:style w:type="character" w:styleId="Hyperlink">
    <w:name w:val="Hyperlink"/>
    <w:semiHidden/>
    <w:rsid w:val="00042D92"/>
    <w:rPr>
      <w:color w:val="0000FF"/>
      <w:u w:val="single"/>
    </w:rPr>
  </w:style>
  <w:style w:type="paragraph" w:customStyle="1" w:styleId="SOPTableHeader">
    <w:name w:val="SOP Table Header"/>
    <w:basedOn w:val="Normal"/>
    <w:rsid w:val="00042D92"/>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042D92"/>
    <w:rPr>
      <w:sz w:val="18"/>
    </w:rPr>
  </w:style>
  <w:style w:type="paragraph" w:customStyle="1" w:styleId="SOPLevel1">
    <w:name w:val="SOP Level 1"/>
    <w:basedOn w:val="Normal"/>
    <w:rsid w:val="00042D92"/>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042D92"/>
    <w:pPr>
      <w:numPr>
        <w:ilvl w:val="1"/>
      </w:numPr>
      <w:spacing w:before="20" w:after="20"/>
    </w:pPr>
    <w:rPr>
      <w:b w:val="0"/>
    </w:rPr>
  </w:style>
  <w:style w:type="paragraph" w:customStyle="1" w:styleId="SOPLevel3">
    <w:name w:val="SOP Level 3"/>
    <w:basedOn w:val="SOPLevel2"/>
    <w:rsid w:val="00100F42"/>
    <w:pPr>
      <w:numPr>
        <w:ilvl w:val="2"/>
      </w:numPr>
    </w:pPr>
  </w:style>
  <w:style w:type="paragraph" w:customStyle="1" w:styleId="SOPLevel4">
    <w:name w:val="SOP Level 4"/>
    <w:basedOn w:val="SOPLevel3"/>
    <w:rsid w:val="00100F42"/>
    <w:pPr>
      <w:numPr>
        <w:ilvl w:val="3"/>
      </w:numPr>
    </w:pPr>
  </w:style>
  <w:style w:type="paragraph" w:customStyle="1" w:styleId="SOPLevel5">
    <w:name w:val="SOP Level 5"/>
    <w:basedOn w:val="SOPLevel4"/>
    <w:rsid w:val="00042D92"/>
    <w:pPr>
      <w:numPr>
        <w:ilvl w:val="4"/>
      </w:numPr>
      <w:ind w:left="3960" w:hanging="1224"/>
    </w:pPr>
  </w:style>
  <w:style w:type="paragraph" w:customStyle="1" w:styleId="SOPLevel6">
    <w:name w:val="SOP Level 6"/>
    <w:basedOn w:val="SOPLevel5"/>
    <w:rsid w:val="00042D92"/>
    <w:pPr>
      <w:numPr>
        <w:ilvl w:val="5"/>
      </w:numPr>
      <w:ind w:left="5400" w:hanging="1440"/>
    </w:pPr>
  </w:style>
  <w:style w:type="character" w:styleId="CommentReference">
    <w:name w:val="annotation reference"/>
    <w:rsid w:val="00042D92"/>
    <w:rPr>
      <w:sz w:val="16"/>
      <w:szCs w:val="16"/>
    </w:rPr>
  </w:style>
  <w:style w:type="paragraph" w:styleId="CommentText">
    <w:name w:val="annotation text"/>
    <w:basedOn w:val="Normal"/>
    <w:link w:val="CommentTextChar"/>
    <w:rsid w:val="00042D9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42D9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2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552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552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28"/>
  </w:style>
  <w:style w:type="paragraph" w:styleId="Footer">
    <w:name w:val="footer"/>
    <w:basedOn w:val="Normal"/>
    <w:link w:val="FooterChar"/>
    <w:uiPriority w:val="99"/>
    <w:unhideWhenUsed/>
    <w:rsid w:val="00FD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28"/>
  </w:style>
  <w:style w:type="character" w:styleId="FootnoteReference">
    <w:name w:val="footnote reference"/>
    <w:semiHidden/>
    <w:rsid w:val="00B14345"/>
    <w:rPr>
      <w:vertAlign w:val="superscript"/>
    </w:rPr>
  </w:style>
  <w:style w:type="paragraph" w:styleId="FootnoteText">
    <w:name w:val="footnote text"/>
    <w:basedOn w:val="Normal"/>
    <w:link w:val="FootnoteTextChar"/>
    <w:uiPriority w:val="99"/>
    <w:semiHidden/>
    <w:unhideWhenUsed/>
    <w:rsid w:val="00B14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345"/>
    <w:rPr>
      <w:sz w:val="20"/>
      <w:szCs w:val="20"/>
    </w:rPr>
  </w:style>
  <w:style w:type="paragraph" w:styleId="Revision">
    <w:name w:val="Revision"/>
    <w:hidden/>
    <w:uiPriority w:val="99"/>
    <w:semiHidden/>
    <w:rsid w:val="004518CB"/>
    <w:pPr>
      <w:spacing w:after="0" w:line="240" w:lineRule="auto"/>
    </w:pPr>
  </w:style>
  <w:style w:type="paragraph" w:customStyle="1" w:styleId="DocumentTitle-HCG">
    <w:name w:val="Document Title - HCG"/>
    <w:basedOn w:val="Normal"/>
    <w:link w:val="DocumentTitle-HCGChar"/>
    <w:qFormat/>
    <w:rsid w:val="003B4CAC"/>
    <w:pPr>
      <w:spacing w:after="160" w:line="240" w:lineRule="auto"/>
      <w:jc w:val="center"/>
    </w:pPr>
    <w:rPr>
      <w:rFonts w:ascii="Arial" w:hAnsi="Arial" w:cs="Arial"/>
      <w:b/>
      <w:sz w:val="32"/>
      <w:szCs w:val="36"/>
    </w:rPr>
  </w:style>
  <w:style w:type="character" w:customStyle="1" w:styleId="DocumentTitle-HCGChar">
    <w:name w:val="Document Title - HCG Char"/>
    <w:basedOn w:val="DefaultParagraphFont"/>
    <w:link w:val="DocumentTitle-HCG"/>
    <w:rsid w:val="003B4CAC"/>
    <w:rPr>
      <w:rFonts w:ascii="Arial" w:hAnsi="Arial" w:cs="Arial"/>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EE186-E433-4E5B-9159-95C082F8965A}">
  <ds:schemaRef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be7ac594-3fae-45a5-acf2-6503baaf7c5f"/>
    <ds:schemaRef ds:uri="http://purl.org/dc/terms/"/>
  </ds:schemaRefs>
</ds:datastoreItem>
</file>

<file path=customXml/itemProps2.xml><?xml version="1.0" encoding="utf-8"?>
<ds:datastoreItem xmlns:ds="http://schemas.openxmlformats.org/officeDocument/2006/customXml" ds:itemID="{CD466CBC-1ADE-46D4-A276-D43D3DD49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7088A-6E99-42FC-95D8-E0A01171076A}">
  <ds:schemaRefs>
    <ds:schemaRef ds:uri="http://schemas.microsoft.com/sharepoint/v3/contenttype/form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8</cp:revision>
  <dcterms:created xsi:type="dcterms:W3CDTF">2026-06-12T20:32:00Z</dcterms:created>
  <dcterms:modified xsi:type="dcterms:W3CDTF">2026-06-16T16:35:00Z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